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Shariah Compliance — SHC Audit Findings FY</w:t>
      </w:r>
    </w:p>
    <w:p>
      <w:r>
        <w:rPr>
          <w:i/>
        </w:rPr>
        <w:t>Document owner: Shariah Compliance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shc audit findings fy use case in the shariah compliance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shariah compliance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shariah compliance portfolio has surfaced a mix of on-track lines and corrective items. This shc audit findings fy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Audit Findings tab of the companion workbook. Headline metrics — Open Findings, Closure %, Tabarru MYR M — are within the agreed corridors for Underwriting, Investment, and Marketing; outside the corridor for Distribution and Operations; and under recovery monitoring for IT.</w:t>
      </w:r>
    </w:p>
    <w:p>
      <w:pPr>
        <w:pStyle w:val="Heading2"/>
      </w:pPr>
      <w:r>
        <w:t>3.2 Key drivers</w:t>
      </w:r>
    </w:p>
    <w:p>
      <w:r>
        <w:t>The driver bridge (see Closure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Risk Watchlist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shc audit findings fy narrative with the Shariah Compliance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Underwriting</w:t>
      </w:r>
    </w:p>
    <w:p>
      <w:pPr>
        <w:pStyle w:val="ListBullet"/>
      </w:pPr>
      <w:r>
        <w:t>Investment</w:t>
      </w:r>
    </w:p>
    <w:p>
      <w:pPr>
        <w:pStyle w:val="ListBullet"/>
      </w:pPr>
      <w:r>
        <w:t>Marketing</w:t>
      </w:r>
    </w:p>
    <w:p>
      <w:pPr>
        <w:pStyle w:val="ListBullet"/>
      </w:pPr>
      <w:r>
        <w:t>Distribution</w:t>
      </w:r>
    </w:p>
    <w:p>
      <w:pPr>
        <w:pStyle w:val="ListBullet"/>
      </w:pPr>
      <w:r>
        <w:t>Operations</w:t>
      </w:r>
    </w:p>
    <w:p>
      <w:pPr>
        <w:pStyle w:val="ListBullet"/>
      </w:pPr>
      <w:r>
        <w:t>IT</w:t>
      </w:r>
    </w:p>
    <w:p>
      <w:pPr>
        <w:pStyle w:val="ListBullet"/>
      </w:pPr>
      <w:r>
        <w:t>Governance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Shariah Compliance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