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Strategy Macro — STR Macro Inputs</w:t>
      </w:r>
    </w:p>
    <w:p>
      <w:r>
        <w:rPr>
          <w:i/>
        </w:rPr>
        <w:t>Document owner: Strategy Macro Office</w:t>
      </w:r>
      <w:r>
        <w:rPr>
          <w:i/>
        </w:rPr>
        <w:t xml:space="preserve">  ·  Version: FY2025-A  ·  Classification: Internal — Working</w:t>
      </w:r>
    </w:p>
    <w:p>
      <w:pPr>
        <w:pStyle w:val="Heading1"/>
      </w:pPr>
      <w:r>
        <w:t>1. Executive Summary</w:t>
      </w:r>
    </w:p>
    <w:p>
      <w:r>
        <w:t>This document is the working artefact for the str macro inputs use case in the strategy macro domain. It is staged for a Microsoft 365 Copilot Cowork / Notebook demo and contains plausible (illustrative) figures, lists, and narratives — not real customer data. The numbers tie back to the companion spreadsheet of the same stem.</w:t>
      </w:r>
    </w:p>
    <w:p>
      <w:r>
        <w:t>The intended demo flow: a strategy macro stakeholder asks Copilot to summarise, compare, draft, or distribute the contents of this file alongside related artefacts. Cowork fans the task out into 5 parallel sub-tasks (draft Word, draft email, schedule meeting, post Teams message, build action tracker). Notebook adds it as a source and answers grounded questions across all sources.</w:t>
      </w:r>
    </w:p>
    <w:p>
      <w:pPr>
        <w:pStyle w:val="Heading1"/>
      </w:pPr>
      <w:r>
        <w:t>2. Scenario &amp; Background</w:t>
      </w:r>
    </w:p>
    <w:p>
      <w:r>
        <w:t>The Group is mid-cycle on its FY2025 close and is rolling forward into FY2026 planning. The strategy macro portfolio has surfaced a mix of on-track lines and corrective items. This str macro inputs captures the working position on those items so the Group office, the operating committee, and (where relevant) the regulator-facing officer can align on next steps.</w:t>
      </w:r>
    </w:p>
    <w:p>
      <w:r>
        <w:t>The team has triangulated the working dataset against three peer benchmarks and against the regulator's published thresholds for the sector. Findings carried over from the prior cycle have been re-examined to test whether the original assumptions still hold under the FY2026 base case.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The closing position by unit / segment is captured in the Macro Inputs tab of the companion workbook. Headline metrics — GDP %, Inflation %, FX MYR/USD — are within the agreed corridors for Base FY26, Upside FY26, and Downside FY26; outside the corridor for Base FY27 and Upside FY27; and under recovery monitoring for Downside FY27.</w:t>
      </w:r>
    </w:p>
    <w:p>
      <w:pPr>
        <w:pStyle w:val="Heading2"/>
      </w:pPr>
      <w:r>
        <w:t>3.2 Key drivers</w:t>
      </w:r>
    </w:p>
    <w:p>
      <w:r>
        <w:t>The driver bridge (see Scenario Bridge tab) attributes the FY25 variance to a balanced mix of volume / mix, pricing and discount discipline, cost base reset, capex re-baseline, working capital, regulatory provisions, FX and hedging, and productivity / automation. Each driver carries an owner and a status (on-track / at-risk / behind / recovered / mitigated).</w:t>
      </w:r>
    </w:p>
    <w:p>
      <w:pPr>
        <w:pStyle w:val="Heading2"/>
      </w:pPr>
      <w:r>
        <w:t>3.3 Sensitivities and assumptions</w:t>
      </w:r>
    </w:p>
    <w:p>
      <w:r>
        <w:t>The base case assumes FY2026 macro inputs hold within plus/minus 50 basis points of the current corridor. The upside and downside scenarios stress the headline metrics by plus/minus two corridors and re-test the recovery plan owners against the stressed position. Key sensitivities: rate path, FX MYR/USD, commodity benchmarks, regulator timing, and customer concentration.</w:t>
      </w:r>
    </w:p>
    <w:p>
      <w:pPr>
        <w:pStyle w:val="Heading2"/>
      </w:pPr>
      <w:r>
        <w:t>3.4 Open issues and unknowns</w:t>
      </w:r>
    </w:p>
    <w:p>
      <w:r>
        <w:t>The watchlist (see Indicator Watchlist tab) tracks 14 indicators flagged in the prior review. Eight are on-track, four are within five points of the threshold (watch), and two have breached and triggered the escalation protocol. Owners and remediation dates are recorded against each item.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str macro inputs narrative with the Strategy Macro CFO before the Board cut-off.</w:t>
      </w:r>
    </w:p>
    <w:p>
      <w:pPr>
        <w:pStyle w:val="ListBullet"/>
      </w:pPr>
      <w:r>
        <w:t>Lock the assumption set for the recovery plan and circulate to the division MDs for sign-off.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IR, and procurement.</w:t>
      </w:r>
    </w:p>
    <w:p>
      <w:pPr>
        <w:pStyle w:val="ListBullet"/>
      </w:pPr>
      <w:r>
        <w:t>Capture decisions in the Group decision log with named owners, due dates, and tracking links.</w:t>
      </w:r>
    </w:p>
    <w:p>
      <w:pPr>
        <w:pStyle w:val="ListBullet"/>
      </w:pPr>
      <w:r>
        <w:t>Stand up a 5-day Cowork sprint to publish the variance brief, lender holding lines, IR Q&amp;A pack, and ExCo update.</w:t>
      </w:r>
    </w:p>
    <w:p>
      <w:pPr>
        <w:pStyle w:val="Heading1"/>
      </w:pPr>
      <w:r>
        <w:t>5. Appendix — Working dataset units</w:t>
      </w:r>
    </w:p>
    <w:p>
      <w:pPr>
        <w:pStyle w:val="ListBullet"/>
      </w:pPr>
      <w:r>
        <w:t>Base FY26</w:t>
      </w:r>
    </w:p>
    <w:p>
      <w:pPr>
        <w:pStyle w:val="ListBullet"/>
      </w:pPr>
      <w:r>
        <w:t>Upside FY26</w:t>
      </w:r>
    </w:p>
    <w:p>
      <w:pPr>
        <w:pStyle w:val="ListBullet"/>
      </w:pPr>
      <w:r>
        <w:t>Downside FY26</w:t>
      </w:r>
    </w:p>
    <w:p>
      <w:pPr>
        <w:pStyle w:val="ListBullet"/>
      </w:pPr>
      <w:r>
        <w:t>Base FY27</w:t>
      </w:r>
    </w:p>
    <w:p>
      <w:pPr>
        <w:pStyle w:val="ListBullet"/>
      </w:pPr>
      <w:r>
        <w:t>Upside FY27</w:t>
      </w:r>
    </w:p>
    <w:p>
      <w:pPr>
        <w:pStyle w:val="ListBullet"/>
      </w:pPr>
      <w:r>
        <w:t>Downside FY27</w:t>
      </w:r>
    </w:p>
    <w:p>
      <w:pPr>
        <w:pStyle w:val="ListBullet"/>
      </w:pPr>
      <w:r>
        <w:t>Stress</w:t>
      </w:r>
    </w:p>
    <w:p>
      <w:pPr>
        <w:pStyle w:val="ListBullet"/>
      </w:pPr>
      <w:r>
        <w:t>Total</w:t>
      </w:r>
    </w:p>
    <w:p>
      <w:pPr>
        <w:pStyle w:val="Heading1"/>
      </w:pPr>
      <w:r>
        <w:t>6. Sign-off &amp; Distribution</w:t>
      </w:r>
    </w:p>
    <w:p>
      <w:r>
        <w:t>Prepared by: Strategy Macro Office  ·  Reviewed by: CFO  ·  Approved by: CEO  ·  Distributed to: Board, ExCo, Risk Committee, IR, Group Strategy.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