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28"/>
        </w:rPr>
        <w:t>ZAVA ENERGY AND CHEMICAL PTE. LTD.</w:t>
      </w:r>
    </w:p>
    <w:p>
      <w:pPr>
        <w:jc w:val="center"/>
      </w:pPr>
      <w:r>
        <w:rPr>
          <w:b/>
          <w:sz w:val="24"/>
        </w:rPr>
        <w:t>HSE INCIDENT REPORT</w:t>
      </w:r>
    </w:p>
    <w:p>
      <w:pPr>
        <w:jc w:val="center"/>
      </w:pPr>
      <w:r>
        <w:rPr>
          <w:i/>
          <w:color w:val="B40000"/>
          <w:sz w:val="18"/>
        </w:rPr>
        <w:t>CONFIDENTIAL — For Internal Use and Regulatory Submission Only</w:t>
      </w:r>
    </w:p>
    <w:p/>
    <w:p>
      <w:pPr>
        <w:pStyle w:val="Heading1"/>
      </w:pPr>
      <w:r>
        <w:rPr>
          <w:color w:val="1E3A5F"/>
        </w:rPr>
        <w:t>Section 1: Incident Identification</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Incident Reference</w:t>
            </w:r>
          </w:p>
        </w:tc>
        <w:tc>
          <w:tcPr>
            <w:tcW w:type="dxa" w:w="4680"/>
          </w:tcPr>
          <w:p>
            <w:r>
              <w:rPr>
                <w:sz w:val="20"/>
              </w:rPr>
              <w:t>INC-2025-05-02-JI</w:t>
            </w:r>
          </w:p>
        </w:tc>
      </w:tr>
      <w:tr>
        <w:tc>
          <w:tcPr>
            <w:tcW w:type="dxa" w:w="4680"/>
          </w:tcPr>
          <w:p>
            <w:r>
              <w:rPr>
                <w:b/>
                <w:sz w:val="20"/>
              </w:rPr>
              <w:t>Incident Date</w:t>
            </w:r>
          </w:p>
        </w:tc>
        <w:tc>
          <w:tcPr>
            <w:tcW w:type="dxa" w:w="4680"/>
          </w:tcPr>
          <w:p>
            <w:r>
              <w:rPr>
                <w:sz w:val="20"/>
              </w:rPr>
              <w:t>2 May 2025</w:t>
            </w:r>
          </w:p>
        </w:tc>
      </w:tr>
      <w:tr>
        <w:tc>
          <w:tcPr>
            <w:tcW w:type="dxa" w:w="4680"/>
          </w:tcPr>
          <w:p>
            <w:r>
              <w:rPr>
                <w:b/>
                <w:sz w:val="20"/>
              </w:rPr>
              <w:t>Incident Time</w:t>
            </w:r>
          </w:p>
        </w:tc>
        <w:tc>
          <w:tcPr>
            <w:tcW w:type="dxa" w:w="4680"/>
          </w:tcPr>
          <w:p>
            <w:r>
              <w:rPr>
                <w:sz w:val="20"/>
              </w:rPr>
              <w:t>09:47 SGT</w:t>
            </w:r>
          </w:p>
        </w:tc>
      </w:tr>
      <w:tr>
        <w:tc>
          <w:tcPr>
            <w:tcW w:type="dxa" w:w="4680"/>
          </w:tcPr>
          <w:p>
            <w:r>
              <w:rPr>
                <w:b/>
                <w:sz w:val="20"/>
              </w:rPr>
              <w:t>Site</w:t>
            </w:r>
          </w:p>
        </w:tc>
        <w:tc>
          <w:tcPr>
            <w:tcW w:type="dxa" w:w="4680"/>
          </w:tcPr>
          <w:p>
            <w:r>
              <w:rPr>
                <w:sz w:val="20"/>
              </w:rPr>
              <w:t>Pasir Gudang Industrial Park Operations Centre, 51 Banyan Drive, Malaysia 628797</w:t>
            </w:r>
          </w:p>
        </w:tc>
      </w:tr>
      <w:tr>
        <w:tc>
          <w:tcPr>
            <w:tcW w:type="dxa" w:w="4680"/>
          </w:tcPr>
          <w:p>
            <w:r>
              <w:rPr>
                <w:b/>
                <w:sz w:val="20"/>
              </w:rPr>
              <w:t>Location (Specific)</w:t>
            </w:r>
          </w:p>
        </w:tc>
        <w:tc>
          <w:tcPr>
            <w:tcW w:type="dxa" w:w="4680"/>
          </w:tcPr>
          <w:p>
            <w:r>
              <w:rPr>
                <w:sz w:val="20"/>
              </w:rPr>
              <w:t>Chemical Storage Bay 3B — Ethylene Glycol bulk storage area</w:t>
            </w:r>
          </w:p>
        </w:tc>
      </w:tr>
      <w:tr>
        <w:tc>
          <w:tcPr>
            <w:tcW w:type="dxa" w:w="4680"/>
          </w:tcPr>
          <w:p>
            <w:r>
              <w:rPr>
                <w:b/>
                <w:sz w:val="20"/>
              </w:rPr>
              <w:t>Classification</w:t>
            </w:r>
          </w:p>
        </w:tc>
        <w:tc>
          <w:tcPr>
            <w:tcW w:type="dxa" w:w="4680"/>
          </w:tcPr>
          <w:p>
            <w:r>
              <w:rPr>
                <w:sz w:val="20"/>
              </w:rPr>
              <w:t>Level 3 — Medical Treatment Incident / Environmental Near-Miss</w:t>
            </w:r>
          </w:p>
        </w:tc>
      </w:tr>
      <w:tr>
        <w:tc>
          <w:tcPr>
            <w:tcW w:type="dxa" w:w="4680"/>
          </w:tcPr>
          <w:p>
            <w:r>
              <w:rPr>
                <w:b/>
                <w:sz w:val="20"/>
              </w:rPr>
              <w:t>Chemicals Involved</w:t>
            </w:r>
          </w:p>
        </w:tc>
        <w:tc>
          <w:tcPr>
            <w:tcW w:type="dxa" w:w="4680"/>
          </w:tcPr>
          <w:p>
            <w:r>
              <w:rPr>
                <w:sz w:val="20"/>
              </w:rPr>
              <w:t>Ethylene Glycol (CAS 107-21-1) — approx. 45 litres released</w:t>
            </w:r>
          </w:p>
        </w:tc>
      </w:tr>
      <w:tr>
        <w:tc>
          <w:tcPr>
            <w:tcW w:type="dxa" w:w="4680"/>
          </w:tcPr>
          <w:p>
            <w:r>
              <w:rPr>
                <w:b/>
                <w:sz w:val="20"/>
              </w:rPr>
              <w:t>Report Prepared By</w:t>
            </w:r>
          </w:p>
        </w:tc>
        <w:tc>
          <w:tcPr>
            <w:tcW w:type="dxa" w:w="4680"/>
          </w:tcPr>
          <w:p>
            <w:r>
              <w:rPr>
                <w:sz w:val="20"/>
              </w:rPr>
              <w:t>Ahmad Faizal (Site HSE Officer)</w:t>
            </w:r>
          </w:p>
        </w:tc>
      </w:tr>
      <w:tr>
        <w:tc>
          <w:tcPr>
            <w:tcW w:type="dxa" w:w="4680"/>
          </w:tcPr>
          <w:p>
            <w:r>
              <w:rPr>
                <w:b/>
                <w:sz w:val="20"/>
              </w:rPr>
              <w:t>Report Date</w:t>
            </w:r>
          </w:p>
        </w:tc>
        <w:tc>
          <w:tcPr>
            <w:tcW w:type="dxa" w:w="4680"/>
          </w:tcPr>
          <w:p>
            <w:r>
              <w:rPr>
                <w:sz w:val="20"/>
              </w:rPr>
              <w:t>3 May 2025</w:t>
            </w:r>
          </w:p>
        </w:tc>
      </w:tr>
      <w:tr>
        <w:tc>
          <w:tcPr>
            <w:tcW w:type="dxa" w:w="4680"/>
          </w:tcPr>
          <w:p>
            <w:r>
              <w:rPr>
                <w:b/>
                <w:sz w:val="20"/>
              </w:rPr>
              <w:t>Last Reviewed By</w:t>
            </w:r>
          </w:p>
        </w:tc>
        <w:tc>
          <w:tcPr>
            <w:tcW w:type="dxa" w:w="4680"/>
          </w:tcPr>
          <w:p>
            <w:r>
              <w:rPr>
                <w:sz w:val="20"/>
              </w:rPr>
              <w:t>Priya Nair (Site HSE Manager)</w:t>
            </w:r>
          </w:p>
        </w:tc>
      </w:tr>
    </w:tbl>
    <w:p/>
    <w:p>
      <w:pPr>
        <w:pStyle w:val="Heading1"/>
      </w:pPr>
      <w:r>
        <w:rPr>
          <w:color w:val="1E3A5F"/>
        </w:rPr>
        <w:t>Section 2: Incident Description</w:t>
      </w:r>
    </w:p>
    <w:p>
      <w:pPr>
        <w:spacing w:after="80"/>
      </w:pPr>
      <w:r>
        <w:rPr>
          <w:b w:val="0"/>
          <w:i w:val="0"/>
          <w:sz w:val="22"/>
        </w:rPr>
        <w:t>On 2 May 2025 at approximately 09:47 SGT, a flexible hose coupling on a bulk tanker transfer line in Storage Bay 3B failed during a routine offloading operation of Ethylene Glycol from a road tanker (Vehicle: SBA 4821K, Supplier: BASF SE, Delivery Note: DN-2025-1042). The failure resulted in an uncontrolled release of approximately 45 litres of Ethylene Glycol onto the concrete bund floor.</w:t>
      </w:r>
    </w:p>
    <w:p>
      <w:pPr>
        <w:spacing w:after="80"/>
      </w:pPr>
      <w:r>
        <w:rPr>
          <w:b w:val="0"/>
          <w:i w:val="0"/>
          <w:sz w:val="22"/>
        </w:rPr>
        <w:t>Mr. Rajan Suresh (Process Technician, Employee ID: EC-1087) was standing approximately 1.5 metres from the failure point and sustained skin and eye exposure to Ethylene Glycol splash. He was immediately escorted to the on-site first aid station and subsequently transported to Pasir Gudang Community Hospital for medical assessment. He was treated and discharged on the same day. No lost workdays were recorded.</w:t>
      </w:r>
    </w:p>
    <w:p>
      <w:pPr>
        <w:spacing w:after="80"/>
      </w:pPr>
      <w:r>
        <w:rPr>
          <w:b w:val="0"/>
          <w:i w:val="0"/>
          <w:sz w:val="22"/>
        </w:rPr>
        <w:t>The release was fully contained within the designated bund area. No product entered the floor drainage system or reached any waterway. Containment was achieved within 8 minutes of the release by the on-site emergency response team.</w:t>
      </w:r>
    </w:p>
    <w:p>
      <w:pPr>
        <w:pStyle w:val="Heading1"/>
      </w:pPr>
      <w:r>
        <w:rPr>
          <w:color w:val="1E3A5F"/>
        </w:rPr>
        <w:t>Section 3: Immediate Actions Taken</w:t>
      </w:r>
    </w:p>
    <w:p>
      <w:pPr>
        <w:pStyle w:val="ListNumber"/>
      </w:pPr>
      <w:r>
        <w:rPr>
          <w:sz w:val="20"/>
        </w:rPr>
        <w:t>09:49 — Site Emergency Coordinator (SEC) Ms. Priya Nair notified via radio by Bay 3B operator.</w:t>
      </w:r>
    </w:p>
    <w:p>
      <w:pPr>
        <w:pStyle w:val="ListNumber"/>
      </w:pPr>
      <w:r>
        <w:rPr>
          <w:sz w:val="20"/>
        </w:rPr>
        <w:t>09:51 — Bay 3B isolated. Road tanker transfer operation halted. Vehicle driver instructed to remain on site.</w:t>
      </w:r>
    </w:p>
    <w:p>
      <w:pPr>
        <w:pStyle w:val="ListNumber"/>
      </w:pPr>
      <w:r>
        <w:rPr>
          <w:sz w:val="20"/>
        </w:rPr>
        <w:t>09:52 — Mr. Rajan Suresh escorted to first aid station. Eye wash station activated immediately.</w:t>
      </w:r>
    </w:p>
    <w:p>
      <w:pPr>
        <w:pStyle w:val="ListNumber"/>
      </w:pPr>
      <w:r>
        <w:rPr>
          <w:sz w:val="20"/>
        </w:rPr>
        <w:t>09:55 — Spill containment team (2 personnel) deployed in Level B PPE with Ethylene Glycol spill kit.</w:t>
      </w:r>
    </w:p>
    <w:p>
      <w:pPr>
        <w:pStyle w:val="ListNumber"/>
      </w:pPr>
      <w:r>
        <w:rPr>
          <w:sz w:val="20"/>
        </w:rPr>
        <w:t>10:03 — Spill fully contained within bund. Absorbent pads deployed. No drainage system entry confirmed.</w:t>
      </w:r>
    </w:p>
    <w:p>
      <w:pPr>
        <w:pStyle w:val="ListNumber"/>
      </w:pPr>
      <w:r>
        <w:rPr>
          <w:sz w:val="20"/>
        </w:rPr>
        <w:t>10:15 — Mr. Rajan Suresh transported by company transport to Pasir Gudang Community Hospital A&amp;E.</w:t>
      </w:r>
    </w:p>
    <w:p>
      <w:pPr>
        <w:pStyle w:val="ListNumber"/>
      </w:pPr>
      <w:r>
        <w:rPr>
          <w:sz w:val="20"/>
        </w:rPr>
        <w:t>10:30 — VP Operations (Mr. Alex Tan) notified by Site HSE Manager.</w:t>
      </w:r>
    </w:p>
    <w:p>
      <w:pPr>
        <w:pStyle w:val="ListNumber"/>
      </w:pPr>
      <w:r>
        <w:rPr>
          <w:sz w:val="20"/>
        </w:rPr>
        <w:t>11:00 — Failed hose coupling removed and quarantined for engineering inspection.</w:t>
      </w:r>
    </w:p>
    <w:p>
      <w:pPr>
        <w:pStyle w:val="ListNumber"/>
      </w:pPr>
      <w:r>
        <w:rPr>
          <w:sz w:val="20"/>
        </w:rPr>
        <w:t>11:30 — Bay 3B declared safe. Decontamination completed. Waste collected in labelled hazardous waste drums.</w:t>
      </w:r>
    </w:p>
    <w:p>
      <w:pPr>
        <w:pStyle w:val="ListNumber"/>
      </w:pPr>
      <w:r>
        <w:rPr>
          <w:sz w:val="20"/>
        </w:rPr>
        <w:t>15:00 — Mr. Rajan Suresh discharged from hospital. Fit for return to work (light duties only).</w:t>
      </w:r>
    </w:p>
    <w:p>
      <w:pPr>
        <w:pStyle w:val="ListNumber"/>
      </w:pPr>
      <w:r>
        <w:rPr>
          <w:sz w:val="20"/>
        </w:rPr>
        <w:t>17:00 — MOM notification submitted (INC-2025-05-02, online portal). NEA notification not required (no environmental release).</w:t>
      </w:r>
    </w:p>
    <w:p/>
    <w:p>
      <w:pPr>
        <w:pStyle w:val="Heading1"/>
      </w:pPr>
      <w:r>
        <w:rPr>
          <w:color w:val="1E3A5F"/>
        </w:rPr>
        <w:t>Section 4: Root Cause Analysis — 5-Whys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Why 1: Why did the hose coupling fail?</w:t>
            </w:r>
          </w:p>
        </w:tc>
        <w:tc>
          <w:tcPr>
            <w:tcW w:type="dxa" w:w="4680"/>
          </w:tcPr>
          <w:p>
            <w:r>
              <w:rPr>
                <w:sz w:val="20"/>
              </w:rPr>
              <w:t>The flexible hose coupling (Part No. FH-EG-3B-07) had exceeded its recommended service life of 24 months. Inspection tag showed installation date of March 2022 — 38 months in service at time of failure.</w:t>
            </w:r>
          </w:p>
        </w:tc>
      </w:tr>
      <w:tr>
        <w:tc>
          <w:tcPr>
            <w:tcW w:type="dxa" w:w="4680"/>
          </w:tcPr>
          <w:p>
            <w:r>
              <w:rPr>
                <w:b/>
                <w:sz w:val="20"/>
              </w:rPr>
              <w:t>Why 2: Why was the coupling still in service?</w:t>
            </w:r>
          </w:p>
        </w:tc>
        <w:tc>
          <w:tcPr>
            <w:tcW w:type="dxa" w:w="4680"/>
          </w:tcPr>
          <w:p>
            <w:r>
              <w:rPr>
                <w:sz w:val="20"/>
              </w:rPr>
              <w:t>The Preventive Maintenance (PM) schedule for Bay 3B flexible hoses had not been updated when the PM interval policy was revised from 24 months to 18 months in January 2024. The revision was applied to Bays 1, 2 and 4 but Bay 3B was missed.</w:t>
            </w:r>
          </w:p>
        </w:tc>
      </w:tr>
      <w:tr>
        <w:tc>
          <w:tcPr>
            <w:tcW w:type="dxa" w:w="4680"/>
          </w:tcPr>
          <w:p>
            <w:r>
              <w:rPr>
                <w:b/>
                <w:sz w:val="20"/>
              </w:rPr>
              <w:t>Why 3: Why was Bay 3B excluded from the PM revision?</w:t>
            </w:r>
          </w:p>
        </w:tc>
        <w:tc>
          <w:tcPr>
            <w:tcW w:type="dxa" w:w="4680"/>
          </w:tcPr>
          <w:p>
            <w:r>
              <w:rPr>
                <w:sz w:val="20"/>
              </w:rPr>
              <w:t>The PM schedule update was performed manually in the CMMS (Computerised Maintenance Management System). The Bay 3B equipment list was in a separate CMMS module and was not included in the bulk update.</w:t>
            </w:r>
          </w:p>
        </w:tc>
      </w:tr>
      <w:tr>
        <w:tc>
          <w:tcPr>
            <w:tcW w:type="dxa" w:w="4680"/>
          </w:tcPr>
          <w:p>
            <w:r>
              <w:rPr>
                <w:b/>
                <w:sz w:val="20"/>
              </w:rPr>
              <w:t>Why 4: Why was the CMMS update not verified for completeness?</w:t>
            </w:r>
          </w:p>
        </w:tc>
        <w:tc>
          <w:tcPr>
            <w:tcW w:type="dxa" w:w="4680"/>
          </w:tcPr>
          <w:p>
            <w:r>
              <w:rPr>
                <w:sz w:val="20"/>
              </w:rPr>
              <w:t>No verification step or sign-off was required in the PM revision procedure at the time. The procedure has since been updated (March 2025) to require cross-module verification, but the Bay 3B error was not identified.</w:t>
            </w:r>
          </w:p>
        </w:tc>
      </w:tr>
      <w:tr>
        <w:tc>
          <w:tcPr>
            <w:tcW w:type="dxa" w:w="4680"/>
          </w:tcPr>
          <w:p>
            <w:r>
              <w:rPr>
                <w:b/>
                <w:sz w:val="20"/>
              </w:rPr>
              <w:t>Why 5: Why was the cross-module verification not in place earlier?</w:t>
            </w:r>
          </w:p>
        </w:tc>
        <w:tc>
          <w:tcPr>
            <w:tcW w:type="dxa" w:w="4680"/>
          </w:tcPr>
          <w:p>
            <w:r>
              <w:rPr>
                <w:sz w:val="20"/>
              </w:rPr>
              <w:t>Root cause: The original PM procedure was written in 2019 before the CMMS was expanded to a multi-module system. The procedure was not reviewed during the 2024 CMMS expansion project.</w:t>
            </w:r>
          </w:p>
        </w:tc>
      </w:tr>
    </w:tbl>
    <w:p/>
    <w:p>
      <w:pPr>
        <w:pStyle w:val="Heading1"/>
      </w:pPr>
      <w:r>
        <w:rPr>
          <w:color w:val="1E3A5F"/>
        </w:rPr>
        <w:t>Section 5: Corrective and Preventive Actions (CAPA)</w:t>
      </w:r>
    </w:p>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b/>
                <w:sz w:val="20"/>
              </w:rPr>
              <w:t>#</w:t>
            </w:r>
          </w:p>
        </w:tc>
        <w:tc>
          <w:tcPr>
            <w:tcW w:type="dxa" w:w="1872"/>
          </w:tcPr>
          <w:p>
            <w:r>
              <w:rPr>
                <w:b/>
                <w:sz w:val="20"/>
              </w:rPr>
              <w:t>Corrective Action</w:t>
            </w:r>
          </w:p>
        </w:tc>
        <w:tc>
          <w:tcPr>
            <w:tcW w:type="dxa" w:w="1872"/>
          </w:tcPr>
          <w:p>
            <w:r>
              <w:rPr>
                <w:b/>
                <w:sz w:val="20"/>
              </w:rPr>
              <w:t>Owner</w:t>
            </w:r>
          </w:p>
        </w:tc>
        <w:tc>
          <w:tcPr>
            <w:tcW w:type="dxa" w:w="1872"/>
          </w:tcPr>
          <w:p>
            <w:r>
              <w:rPr>
                <w:b/>
                <w:sz w:val="20"/>
              </w:rPr>
              <w:t>Target Date</w:t>
            </w:r>
          </w:p>
        </w:tc>
        <w:tc>
          <w:tcPr>
            <w:tcW w:type="dxa" w:w="1872"/>
          </w:tcPr>
          <w:p>
            <w:r>
              <w:rPr>
                <w:b/>
                <w:sz w:val="20"/>
              </w:rPr>
              <w:t>Status</w:t>
            </w:r>
          </w:p>
        </w:tc>
      </w:tr>
      <w:tr>
        <w:tc>
          <w:tcPr>
            <w:tcW w:type="dxa" w:w="1872"/>
          </w:tcPr>
          <w:p>
            <w:r>
              <w:rPr>
                <w:sz w:val="20"/>
              </w:rPr>
              <w:t>1</w:t>
            </w:r>
          </w:p>
        </w:tc>
        <w:tc>
          <w:tcPr>
            <w:tcW w:type="dxa" w:w="1872"/>
          </w:tcPr>
          <w:p>
            <w:r>
              <w:rPr>
                <w:sz w:val="20"/>
              </w:rPr>
              <w:t>Replace all flexible hose couplings in Bay 3B. Verify replacement date tags installed on all new couplings.</w:t>
            </w:r>
          </w:p>
        </w:tc>
        <w:tc>
          <w:tcPr>
            <w:tcW w:type="dxa" w:w="1872"/>
          </w:tcPr>
          <w:p>
            <w:r>
              <w:rPr>
                <w:sz w:val="20"/>
              </w:rPr>
              <w:t>Facilities Manager</w:t>
            </w:r>
          </w:p>
        </w:tc>
        <w:tc>
          <w:tcPr>
            <w:tcW w:type="dxa" w:w="1872"/>
          </w:tcPr>
          <w:p>
            <w:r>
              <w:rPr>
                <w:sz w:val="20"/>
              </w:rPr>
              <w:t>9 May 2025</w:t>
            </w:r>
          </w:p>
        </w:tc>
        <w:tc>
          <w:tcPr>
            <w:tcW w:type="dxa" w:w="1872"/>
          </w:tcPr>
          <w:p>
            <w:r>
              <w:rPr>
                <w:sz w:val="20"/>
              </w:rPr>
              <w:t>Completed</w:t>
            </w:r>
          </w:p>
        </w:tc>
      </w:tr>
      <w:tr>
        <w:tc>
          <w:tcPr>
            <w:tcW w:type="dxa" w:w="1872"/>
          </w:tcPr>
          <w:p>
            <w:r>
              <w:rPr>
                <w:sz w:val="20"/>
              </w:rPr>
              <w:t>2</w:t>
            </w:r>
          </w:p>
        </w:tc>
        <w:tc>
          <w:tcPr>
            <w:tcW w:type="dxa" w:w="1872"/>
          </w:tcPr>
          <w:p>
            <w:r>
              <w:rPr>
                <w:sz w:val="20"/>
              </w:rPr>
              <w:t>Conduct full CMMS audit of all site equipment PM schedules across all modules. Verify interval compliance.</w:t>
            </w:r>
          </w:p>
        </w:tc>
        <w:tc>
          <w:tcPr>
            <w:tcW w:type="dxa" w:w="1872"/>
          </w:tcPr>
          <w:p>
            <w:r>
              <w:rPr>
                <w:sz w:val="20"/>
              </w:rPr>
              <w:t>Maintenance Manager</w:t>
            </w:r>
          </w:p>
        </w:tc>
        <w:tc>
          <w:tcPr>
            <w:tcW w:type="dxa" w:w="1872"/>
          </w:tcPr>
          <w:p>
            <w:r>
              <w:rPr>
                <w:sz w:val="20"/>
              </w:rPr>
              <w:t>31 May 2025</w:t>
            </w:r>
          </w:p>
        </w:tc>
        <w:tc>
          <w:tcPr>
            <w:tcW w:type="dxa" w:w="1872"/>
          </w:tcPr>
          <w:p>
            <w:r>
              <w:rPr>
                <w:sz w:val="20"/>
              </w:rPr>
              <w:t>In Progress</w:t>
            </w:r>
          </w:p>
        </w:tc>
      </w:tr>
      <w:tr>
        <w:tc>
          <w:tcPr>
            <w:tcW w:type="dxa" w:w="1872"/>
          </w:tcPr>
          <w:p>
            <w:r>
              <w:rPr>
                <w:sz w:val="20"/>
              </w:rPr>
              <w:t>3</w:t>
            </w:r>
          </w:p>
        </w:tc>
        <w:tc>
          <w:tcPr>
            <w:tcW w:type="dxa" w:w="1872"/>
          </w:tcPr>
          <w:p>
            <w:r>
              <w:rPr>
                <w:sz w:val="20"/>
              </w:rPr>
              <w:t>Update the PM Schedule Revision Procedure to mandate cross-module verification sign-off by Site HSE Manager.</w:t>
            </w:r>
          </w:p>
        </w:tc>
        <w:tc>
          <w:tcPr>
            <w:tcW w:type="dxa" w:w="1872"/>
          </w:tcPr>
          <w:p>
            <w:r>
              <w:rPr>
                <w:sz w:val="20"/>
              </w:rPr>
              <w:t>HSE Manager</w:t>
            </w:r>
          </w:p>
        </w:tc>
        <w:tc>
          <w:tcPr>
            <w:tcW w:type="dxa" w:w="1872"/>
          </w:tcPr>
          <w:p>
            <w:r>
              <w:rPr>
                <w:sz w:val="20"/>
              </w:rPr>
              <w:t>15 May 2025</w:t>
            </w:r>
          </w:p>
        </w:tc>
        <w:tc>
          <w:tcPr>
            <w:tcW w:type="dxa" w:w="1872"/>
          </w:tcPr>
          <w:p>
            <w:r>
              <w:rPr>
                <w:sz w:val="20"/>
              </w:rPr>
              <w:t>Completed</w:t>
            </w:r>
          </w:p>
        </w:tc>
      </w:tr>
      <w:tr>
        <w:tc>
          <w:tcPr>
            <w:tcW w:type="dxa" w:w="1872"/>
          </w:tcPr>
          <w:p>
            <w:r>
              <w:rPr>
                <w:sz w:val="20"/>
              </w:rPr>
              <w:t>4</w:t>
            </w:r>
          </w:p>
        </w:tc>
        <w:tc>
          <w:tcPr>
            <w:tcW w:type="dxa" w:w="1872"/>
          </w:tcPr>
          <w:p>
            <w:r>
              <w:rPr>
                <w:sz w:val="20"/>
              </w:rPr>
              <w:t>Conduct refresher training for all Bay operators on hose condition inspection before each transfer operation.</w:t>
            </w:r>
          </w:p>
        </w:tc>
        <w:tc>
          <w:tcPr>
            <w:tcW w:type="dxa" w:w="1872"/>
          </w:tcPr>
          <w:p>
            <w:r>
              <w:rPr>
                <w:sz w:val="20"/>
              </w:rPr>
              <w:t>HSE Manager</w:t>
            </w:r>
          </w:p>
        </w:tc>
        <w:tc>
          <w:tcPr>
            <w:tcW w:type="dxa" w:w="1872"/>
          </w:tcPr>
          <w:p>
            <w:r>
              <w:rPr>
                <w:sz w:val="20"/>
              </w:rPr>
              <w:t>31 May 2025</w:t>
            </w:r>
          </w:p>
        </w:tc>
        <w:tc>
          <w:tcPr>
            <w:tcW w:type="dxa" w:w="1872"/>
          </w:tcPr>
          <w:p>
            <w:r>
              <w:rPr>
                <w:sz w:val="20"/>
              </w:rPr>
              <w:t>In Progress</w:t>
            </w:r>
          </w:p>
        </w:tc>
      </w:tr>
      <w:tr>
        <w:tc>
          <w:tcPr>
            <w:tcW w:type="dxa" w:w="1872"/>
          </w:tcPr>
          <w:p>
            <w:r>
              <w:rPr>
                <w:sz w:val="20"/>
              </w:rPr>
              <w:t>5</w:t>
            </w:r>
          </w:p>
        </w:tc>
        <w:tc>
          <w:tcPr>
            <w:tcW w:type="dxa" w:w="1872"/>
          </w:tcPr>
          <w:p>
            <w:r>
              <w:rPr>
                <w:sz w:val="20"/>
              </w:rPr>
              <w:t>Review and update the preventive maintenance intervals for all flexible hoses, couplings, and transfer fittings site-wide.</w:t>
            </w:r>
          </w:p>
        </w:tc>
        <w:tc>
          <w:tcPr>
            <w:tcW w:type="dxa" w:w="1872"/>
          </w:tcPr>
          <w:p>
            <w:r>
              <w:rPr>
                <w:sz w:val="20"/>
              </w:rPr>
              <w:t>Maintenance Manager</w:t>
            </w:r>
          </w:p>
        </w:tc>
        <w:tc>
          <w:tcPr>
            <w:tcW w:type="dxa" w:w="1872"/>
          </w:tcPr>
          <w:p>
            <w:r>
              <w:rPr>
                <w:sz w:val="20"/>
              </w:rPr>
              <w:t>30 Jun 2025</w:t>
            </w:r>
          </w:p>
        </w:tc>
        <w:tc>
          <w:tcPr>
            <w:tcW w:type="dxa" w:w="1872"/>
          </w:tcPr>
          <w:p>
            <w:r>
              <w:rPr>
                <w:sz w:val="20"/>
              </w:rPr>
              <w:t>In Progress</w:t>
            </w:r>
          </w:p>
        </w:tc>
      </w:tr>
      <w:tr>
        <w:tc>
          <w:tcPr>
            <w:tcW w:type="dxa" w:w="1872"/>
          </w:tcPr>
          <w:p>
            <w:r>
              <w:rPr>
                <w:sz w:val="20"/>
              </w:rPr>
              <w:t>6</w:t>
            </w:r>
          </w:p>
        </w:tc>
        <w:tc>
          <w:tcPr>
            <w:tcW w:type="dxa" w:w="1872"/>
          </w:tcPr>
          <w:p>
            <w:r>
              <w:rPr>
                <w:sz w:val="20"/>
              </w:rPr>
              <w:t>Update the Ethylene Glycol transfer SOP to include mandatory pre-transfer hose integrity inspection checklist.</w:t>
            </w:r>
          </w:p>
        </w:tc>
        <w:tc>
          <w:tcPr>
            <w:tcW w:type="dxa" w:w="1872"/>
          </w:tcPr>
          <w:p>
            <w:r>
              <w:rPr>
                <w:sz w:val="20"/>
              </w:rPr>
              <w:t>Operations Manager</w:t>
            </w:r>
          </w:p>
        </w:tc>
        <w:tc>
          <w:tcPr>
            <w:tcW w:type="dxa" w:w="1872"/>
          </w:tcPr>
          <w:p>
            <w:r>
              <w:rPr>
                <w:sz w:val="20"/>
              </w:rPr>
              <w:t>31 May 2025</w:t>
            </w:r>
          </w:p>
        </w:tc>
        <w:tc>
          <w:tcPr>
            <w:tcW w:type="dxa" w:w="1872"/>
          </w:tcPr>
          <w:p>
            <w:r>
              <w:rPr>
                <w:sz w:val="20"/>
              </w:rPr>
              <w:t>In Progress</w:t>
            </w:r>
          </w:p>
        </w:tc>
      </w:tr>
    </w:tbl>
    <w:p/>
    <w:p>
      <w:pPr>
        <w:pStyle w:val="Heading1"/>
      </w:pPr>
      <w:r>
        <w:rPr>
          <w:color w:val="1E3A5F"/>
        </w:rPr>
        <w:t>Section 6: Regulatory Notifications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MOM Notification</w:t>
            </w:r>
          </w:p>
        </w:tc>
        <w:tc>
          <w:tcPr>
            <w:tcW w:type="dxa" w:w="4680"/>
          </w:tcPr>
          <w:p>
            <w:r>
              <w:rPr>
                <w:sz w:val="20"/>
              </w:rPr>
              <w:t>Submitted 2 May 2025, 17:00 SGT. Reference: MOM-WSH-2025-0502-JI. Acknowledgement received 3 May 2025.</w:t>
            </w:r>
          </w:p>
        </w:tc>
      </w:tr>
      <w:tr>
        <w:tc>
          <w:tcPr>
            <w:tcW w:type="dxa" w:w="4680"/>
          </w:tcPr>
          <w:p>
            <w:r>
              <w:rPr>
                <w:b/>
                <w:sz w:val="20"/>
              </w:rPr>
              <w:t>NEA Notification</w:t>
            </w:r>
          </w:p>
        </w:tc>
        <w:tc>
          <w:tcPr>
            <w:tcW w:type="dxa" w:w="4680"/>
          </w:tcPr>
          <w:p>
            <w:r>
              <w:rPr>
                <w:sz w:val="20"/>
              </w:rPr>
              <w:t>Not required. Spill fully contained within bund. No environmental release.</w:t>
            </w:r>
          </w:p>
        </w:tc>
      </w:tr>
      <w:tr>
        <w:tc>
          <w:tcPr>
            <w:tcW w:type="dxa" w:w="4680"/>
          </w:tcPr>
          <w:p>
            <w:r>
              <w:rPr>
                <w:b/>
                <w:sz w:val="20"/>
              </w:rPr>
              <w:t>Statutory Deadline</w:t>
            </w:r>
          </w:p>
        </w:tc>
        <w:tc>
          <w:tcPr>
            <w:tcW w:type="dxa" w:w="4680"/>
          </w:tcPr>
          <w:p>
            <w:r>
              <w:rPr>
                <w:sz w:val="20"/>
              </w:rPr>
              <w:t>MOM full investigation report due within 10 working days (deadline: 16 May 2025).</w:t>
            </w:r>
          </w:p>
        </w:tc>
      </w:tr>
    </w:tbl>
    <w:p/>
    <w:p>
      <w:pPr>
        <w:pStyle w:val="Heading1"/>
      </w:pPr>
      <w:r>
        <w:rPr>
          <w:color w:val="1E3A5F"/>
        </w:rPr>
        <w:t>Section 7: Approvals</w:t>
      </w:r>
    </w:p>
    <w:tbl>
      <w:tblPr>
        <w:tblStyle w:val="TableGrid"/>
        <w:tblW w:type="auto" w:w="0"/>
        <w:tblLook w:firstColumn="1" w:firstRow="1" w:lastColumn="0" w:lastRow="0" w:noHBand="0" w:noVBand="1" w:val="04A0"/>
      </w:tblPr>
      <w:tblGrid>
        <w:gridCol w:w="4680"/>
        <w:gridCol w:w="4680"/>
      </w:tblGrid>
      <w:tr>
        <w:tc>
          <w:tcPr>
            <w:tcW w:type="dxa" w:w="4680"/>
          </w:tcPr>
          <w:p>
            <w:r>
              <w:rPr>
                <w:b/>
                <w:sz w:val="20"/>
              </w:rPr>
              <w:t>Prepared By</w:t>
            </w:r>
          </w:p>
        </w:tc>
        <w:tc>
          <w:tcPr>
            <w:tcW w:type="dxa" w:w="4680"/>
          </w:tcPr>
          <w:p>
            <w:r>
              <w:rPr>
                <w:sz w:val="20"/>
              </w:rPr>
              <w:t>Ahmad Faizal, Site HSE Officer — 3 May 2025</w:t>
            </w:r>
          </w:p>
        </w:tc>
      </w:tr>
      <w:tr>
        <w:tc>
          <w:tcPr>
            <w:tcW w:type="dxa" w:w="4680"/>
          </w:tcPr>
          <w:p>
            <w:r>
              <w:rPr>
                <w:b/>
                <w:sz w:val="20"/>
              </w:rPr>
              <w:t>Reviewed By</w:t>
            </w:r>
          </w:p>
        </w:tc>
        <w:tc>
          <w:tcPr>
            <w:tcW w:type="dxa" w:w="4680"/>
          </w:tcPr>
          <w:p>
            <w:r>
              <w:rPr>
                <w:sz w:val="20"/>
              </w:rPr>
              <w:t>Priya Nair, Site HSE Manager — 4 May 2025</w:t>
            </w:r>
          </w:p>
        </w:tc>
      </w:tr>
      <w:tr>
        <w:tc>
          <w:tcPr>
            <w:tcW w:type="dxa" w:w="4680"/>
          </w:tcPr>
          <w:p>
            <w:r>
              <w:rPr>
                <w:b/>
                <w:sz w:val="20"/>
              </w:rPr>
              <w:t>Approved By</w:t>
            </w:r>
          </w:p>
        </w:tc>
        <w:tc>
          <w:tcPr>
            <w:tcW w:type="dxa" w:w="4680"/>
          </w:tcPr>
          <w:p>
            <w:r>
              <w:rPr>
                <w:sz w:val="20"/>
              </w:rPr>
              <w:t>Alex Tan, VP Operations — 4 May 2025</w:t>
            </w:r>
          </w:p>
        </w:tc>
      </w:tr>
      <w:tr>
        <w:tc>
          <w:tcPr>
            <w:tcW w:type="dxa" w:w="4680"/>
          </w:tcPr>
          <w:p>
            <w:r>
              <w:rPr>
                <w:b/>
                <w:sz w:val="20"/>
              </w:rPr>
              <w:t>Status</w:t>
            </w:r>
          </w:p>
        </w:tc>
        <w:tc>
          <w:tcPr>
            <w:tcW w:type="dxa" w:w="4680"/>
          </w:tcPr>
          <w:p>
            <w:r>
              <w:rPr>
                <w:sz w:val="20"/>
              </w:rPr>
              <w:t>FINAL — Approved for MOM Submission</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