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545"/>
          <w:sz w:val="30"/>
        </w:rPr>
        <w:t>PASIR GUDANG AROMATICS SDN BHD</w:t>
      </w:r>
    </w:p>
    <w:p>
      <w:pPr>
        <w:jc w:val="center"/>
      </w:pPr>
      <w:r>
        <w:rPr>
          <w:b/>
          <w:sz w:val="26"/>
        </w:rPr>
        <w:t>REQUEST FOR QUOTATION (RFQ)</w:t>
      </w:r>
    </w:p>
    <w:p>
      <w:pPr>
        <w:jc w:val="center"/>
      </w:pPr>
      <w:r>
        <w:rPr>
          <w:b/>
          <w:sz w:val="22"/>
        </w:rPr>
        <w:t>Tender Reference: ZOD-2025-T044</w:t>
      </w:r>
    </w:p>
    <w:p/>
    <w:p>
      <w:pPr>
        <w:pStyle w:val="Heading1"/>
      </w:pPr>
      <w:r>
        <w:rPr>
          <w:color w:val="0F2545"/>
        </w:rPr>
        <w:t>1. Buyer Information</w:t>
      </w:r>
    </w:p>
    <w:tbl>
      <w:tblPr>
        <w:tblStyle w:val="TableGrid"/>
        <w:tblW w:type="auto" w:w="0"/>
        <w:tblLook w:firstColumn="1" w:firstRow="1" w:lastColumn="0" w:lastRow="0" w:noHBand="0" w:noVBand="1" w:val="04A0"/>
      </w:tblPr>
      <w:tblGrid>
        <w:gridCol w:w="4536"/>
        <w:gridCol w:w="4536"/>
      </w:tblGrid>
      <w:tr>
        <w:tc>
          <w:tcPr>
            <w:tcW w:type="dxa" w:w="4536"/>
          </w:tcPr>
          <w:p>
            <w:r>
              <w:rPr>
                <w:b/>
                <w:sz w:val="20"/>
              </w:rPr>
              <w:t>Company</w:t>
            </w:r>
          </w:p>
        </w:tc>
        <w:tc>
          <w:tcPr>
            <w:tcW w:type="dxa" w:w="4536"/>
          </w:tcPr>
          <w:p>
            <w:r>
              <w:rPr>
                <w:sz w:val="20"/>
              </w:rPr>
              <w:t>Pasir Gudang Aromatics Corporation Pte. Ltd.</w:t>
            </w:r>
          </w:p>
        </w:tc>
      </w:tr>
      <w:tr>
        <w:tc>
          <w:tcPr>
            <w:tcW w:type="dxa" w:w="4536"/>
          </w:tcPr>
          <w:p>
            <w:r>
              <w:rPr>
                <w:b/>
                <w:sz w:val="20"/>
              </w:rPr>
              <w:t>Address</w:t>
            </w:r>
          </w:p>
        </w:tc>
        <w:tc>
          <w:tcPr>
            <w:tcW w:type="dxa" w:w="4536"/>
          </w:tcPr>
          <w:p>
            <w:r>
              <w:rPr>
                <w:sz w:val="20"/>
              </w:rPr>
              <w:t>1 Banyan Avenue, Pasir Gudang Industrial Park, Malaysia 627868</w:t>
            </w:r>
          </w:p>
        </w:tc>
      </w:tr>
      <w:tr>
        <w:tc>
          <w:tcPr>
            <w:tcW w:type="dxa" w:w="4536"/>
          </w:tcPr>
          <w:p>
            <w:r>
              <w:rPr>
                <w:b/>
                <w:sz w:val="20"/>
              </w:rPr>
              <w:t>Contact Person</w:t>
            </w:r>
          </w:p>
        </w:tc>
        <w:tc>
          <w:tcPr>
            <w:tcW w:type="dxa" w:w="4536"/>
          </w:tcPr>
          <w:p>
            <w:r>
              <w:rPr>
                <w:sz w:val="20"/>
              </w:rPr>
              <w:t>Ms. Tan Wei Lin, Head of Procurement</w:t>
            </w:r>
          </w:p>
        </w:tc>
      </w:tr>
      <w:tr>
        <w:tc>
          <w:tcPr>
            <w:tcW w:type="dxa" w:w="4536"/>
          </w:tcPr>
          <w:p>
            <w:r>
              <w:rPr>
                <w:b/>
                <w:sz w:val="20"/>
              </w:rPr>
              <w:t>Email</w:t>
            </w:r>
          </w:p>
        </w:tc>
        <w:tc>
          <w:tcPr>
            <w:tcW w:type="dxa" w:w="4536"/>
          </w:tcPr>
          <w:p>
            <w:r>
              <w:rPr>
                <w:sz w:val="20"/>
              </w:rPr>
              <w:t>procurement.rfq@zod.com.my</w:t>
            </w:r>
          </w:p>
        </w:tc>
      </w:tr>
      <w:tr>
        <w:tc>
          <w:tcPr>
            <w:tcW w:type="dxa" w:w="4536"/>
          </w:tcPr>
          <w:p>
            <w:r>
              <w:rPr>
                <w:b/>
                <w:sz w:val="20"/>
              </w:rPr>
              <w:t>Issue Date</w:t>
            </w:r>
          </w:p>
        </w:tc>
        <w:tc>
          <w:tcPr>
            <w:tcW w:type="dxa" w:w="4536"/>
          </w:tcPr>
          <w:p>
            <w:r>
              <w:rPr>
                <w:sz w:val="20"/>
              </w:rPr>
              <w:t>12 May 2025</w:t>
            </w:r>
          </w:p>
        </w:tc>
      </w:tr>
    </w:tbl>
    <w:p/>
    <w:p>
      <w:pPr>
        <w:pStyle w:val="Heading1"/>
      </w:pPr>
      <w:r>
        <w:rPr>
          <w:color w:val="0F2545"/>
        </w:rPr>
        <w:t>2. RFQ Overview</w:t>
      </w:r>
    </w:p>
    <w:p>
      <w:pPr>
        <w:spacing w:after="80"/>
      </w:pPr>
      <w:r>
        <w:rPr>
          <w:b w:val="0"/>
          <w:sz w:val="21"/>
        </w:rPr>
        <w:t>Pasir Gudang Aromatics Corporation Pte. Ltd. (ZOD) invites quotations from approved chemical distributors for the supply of Ethylene Glycol (MEG) and Methanol (MeOH) for a 12-month supply contract commencing 1 August 2025.</w:t>
      </w:r>
    </w:p>
    <w:p>
      <w:pPr>
        <w:spacing w:after="80"/>
      </w:pPr>
      <w:r>
        <w:rPr>
          <w:b w:val="0"/>
          <w:sz w:val="21"/>
        </w:rPr>
        <w:t>ZOD operates a C8 aromatics complex on Pasir Gudang Industrial Park with an annual production capacity of 800,000 MT of mixed xylenes and 250,000 MT of benzene. The chemicals requested in this RFQ are used as process utilities and cleaning solvents in the complex.</w:t>
      </w:r>
    </w:p>
    <w:p>
      <w:pPr>
        <w:pStyle w:val="Heading1"/>
      </w:pPr>
      <w:r>
        <w:rPr>
          <w:color w:val="0F2545"/>
        </w:rPr>
        <w:t>3. Scope of Supply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20"/>
              </w:rPr>
              <w:t>Item</w:t>
            </w:r>
          </w:p>
        </w:tc>
        <w:tc>
          <w:tcPr>
            <w:tcW w:type="dxa" w:w="1512"/>
          </w:tcPr>
          <w:p>
            <w:r>
              <w:rPr>
                <w:b/>
                <w:sz w:val="20"/>
              </w:rPr>
              <w:t>Product</w:t>
            </w:r>
          </w:p>
        </w:tc>
        <w:tc>
          <w:tcPr>
            <w:tcW w:type="dxa" w:w="1512"/>
          </w:tcPr>
          <w:p>
            <w:r>
              <w:rPr>
                <w:b/>
                <w:sz w:val="20"/>
              </w:rPr>
              <w:t>Grade / Specification</w:t>
            </w:r>
          </w:p>
        </w:tc>
        <w:tc>
          <w:tcPr>
            <w:tcW w:type="dxa" w:w="1512"/>
          </w:tcPr>
          <w:p>
            <w:r>
              <w:rPr>
                <w:b/>
                <w:sz w:val="20"/>
              </w:rPr>
              <w:t>Monthly Volume (MT)</w:t>
            </w:r>
          </w:p>
        </w:tc>
        <w:tc>
          <w:tcPr>
            <w:tcW w:type="dxa" w:w="1512"/>
          </w:tcPr>
          <w:p>
            <w:r>
              <w:rPr>
                <w:b/>
                <w:sz w:val="20"/>
              </w:rPr>
              <w:t>Annual Volume (MT)</w:t>
            </w:r>
          </w:p>
        </w:tc>
        <w:tc>
          <w:tcPr>
            <w:tcW w:type="dxa" w:w="1512"/>
          </w:tcPr>
          <w:p>
            <w:r>
              <w:rPr>
                <w:b/>
                <w:sz w:val="20"/>
              </w:rPr>
              <w:t>Delivery</w:t>
            </w:r>
          </w:p>
        </w:tc>
      </w:tr>
      <w:tr>
        <w:tc>
          <w:tcPr>
            <w:tcW w:type="dxa" w:w="1512"/>
          </w:tcPr>
          <w:p>
            <w:r>
              <w:rPr>
                <w:sz w:val="20"/>
              </w:rPr>
              <w:t>1</w:t>
            </w:r>
          </w:p>
        </w:tc>
        <w:tc>
          <w:tcPr>
            <w:tcW w:type="dxa" w:w="1512"/>
          </w:tcPr>
          <w:p>
            <w:r>
              <w:rPr>
                <w:sz w:val="20"/>
              </w:rPr>
              <w:t>Ethylene Glycol (MEG)</w:t>
            </w:r>
          </w:p>
        </w:tc>
        <w:tc>
          <w:tcPr>
            <w:tcW w:type="dxa" w:w="1512"/>
          </w:tcPr>
          <w:p>
            <w:r>
              <w:rPr>
                <w:sz w:val="20"/>
              </w:rPr>
              <w:t>Technical Grade — Purity ≥ 99.8%</w:t>
            </w:r>
          </w:p>
        </w:tc>
        <w:tc>
          <w:tcPr>
            <w:tcW w:type="dxa" w:w="1512"/>
          </w:tcPr>
          <w:p>
            <w:r>
              <w:rPr>
                <w:sz w:val="20"/>
              </w:rPr>
              <w:t>250 – 350</w:t>
            </w:r>
          </w:p>
        </w:tc>
        <w:tc>
          <w:tcPr>
            <w:tcW w:type="dxa" w:w="1512"/>
          </w:tcPr>
          <w:p>
            <w:r>
              <w:rPr>
                <w:sz w:val="20"/>
              </w:rPr>
              <w:t>3,000 – 4,200</w:t>
            </w:r>
          </w:p>
        </w:tc>
        <w:tc>
          <w:tcPr>
            <w:tcW w:type="dxa" w:w="1512"/>
          </w:tcPr>
          <w:p>
            <w:r>
              <w:rPr>
                <w:sz w:val="20"/>
              </w:rPr>
              <w:t>CIF Pasir Gudang Industrial Park</w:t>
            </w:r>
          </w:p>
        </w:tc>
      </w:tr>
      <w:tr>
        <w:tc>
          <w:tcPr>
            <w:tcW w:type="dxa" w:w="1512"/>
          </w:tcPr>
          <w:p>
            <w:r>
              <w:rPr>
                <w:sz w:val="20"/>
              </w:rPr>
              <w:t>2</w:t>
            </w:r>
          </w:p>
        </w:tc>
        <w:tc>
          <w:tcPr>
            <w:tcW w:type="dxa" w:w="1512"/>
          </w:tcPr>
          <w:p>
            <w:r>
              <w:rPr>
                <w:sz w:val="20"/>
              </w:rPr>
              <w:t>Methanol (MeOH)</w:t>
            </w:r>
          </w:p>
        </w:tc>
        <w:tc>
          <w:tcPr>
            <w:tcW w:type="dxa" w:w="1512"/>
          </w:tcPr>
          <w:p>
            <w:r>
              <w:rPr>
                <w:sz w:val="20"/>
              </w:rPr>
              <w:t>Technical Grade — Purity ≥ 99.85%</w:t>
            </w:r>
          </w:p>
        </w:tc>
        <w:tc>
          <w:tcPr>
            <w:tcW w:type="dxa" w:w="1512"/>
          </w:tcPr>
          <w:p>
            <w:r>
              <w:rPr>
                <w:sz w:val="20"/>
              </w:rPr>
              <w:t>400 – 550</w:t>
            </w:r>
          </w:p>
        </w:tc>
        <w:tc>
          <w:tcPr>
            <w:tcW w:type="dxa" w:w="1512"/>
          </w:tcPr>
          <w:p>
            <w:r>
              <w:rPr>
                <w:sz w:val="20"/>
              </w:rPr>
              <w:t>4,800 – 6,600</w:t>
            </w:r>
          </w:p>
        </w:tc>
        <w:tc>
          <w:tcPr>
            <w:tcW w:type="dxa" w:w="1512"/>
          </w:tcPr>
          <w:p>
            <w:r>
              <w:rPr>
                <w:sz w:val="20"/>
              </w:rPr>
              <w:t>CIF Pasir Gudang Industrial Park</w:t>
            </w:r>
          </w:p>
        </w:tc>
      </w:tr>
    </w:tbl>
    <w:p/>
    <w:p>
      <w:pPr>
        <w:pStyle w:val="Heading1"/>
      </w:pPr>
      <w:r>
        <w:rPr>
          <w:color w:val="0F2545"/>
        </w:rPr>
        <w:t>4. Commercial Requirements</w:t>
      </w:r>
    </w:p>
    <w:p>
      <w:pPr>
        <w:spacing w:after="80"/>
      </w:pPr>
      <w:r>
        <w:rPr>
          <w:b w:val="0"/>
          <w:sz w:val="21"/>
        </w:rPr>
        <w:t>4.1 Pricing: Quotes must be submitted in USD per MT, CIF Pasir Gudang Industrial Park (ISO tank delivery). Prices must remain valid for 90 days from submission deadline. Price escalation/de-escalation linked to ICIS MEG Southeast Asia CFR assessment and Methanex European contract price is acceptable.</w:t>
      </w:r>
    </w:p>
    <w:p>
      <w:pPr>
        <w:spacing w:after="80"/>
      </w:pPr>
      <w:r>
        <w:rPr>
          <w:b w:val="0"/>
          <w:sz w:val="21"/>
        </w:rPr>
        <w:t>4.2 Payment Terms: 30 days from Bill of Lading date. Letters of Credit (LC) acceptable for first 2 shipments.</w:t>
      </w:r>
    </w:p>
    <w:p>
      <w:pPr>
        <w:spacing w:after="80"/>
      </w:pPr>
      <w:r>
        <w:rPr>
          <w:b w:val="0"/>
          <w:sz w:val="21"/>
        </w:rPr>
        <w:t>4.3 Contract Duration: 12 months with option to extend for a further 12 months at buyer's discretion.</w:t>
      </w:r>
    </w:p>
    <w:p>
      <w:pPr>
        <w:spacing w:after="80"/>
      </w:pPr>
      <w:r>
        <w:rPr>
          <w:b w:val="0"/>
          <w:sz w:val="21"/>
        </w:rPr>
        <w:t>4.4 Volume Flexibility: ZOD requires +/- 15% volume flexibility per monthly delivery window. Supplier must confirm ability to accommodate.</w:t>
      </w:r>
    </w:p>
    <w:p>
      <w:pPr>
        <w:pStyle w:val="Heading1"/>
      </w:pPr>
      <w:r>
        <w:rPr>
          <w:color w:val="0F2545"/>
        </w:rPr>
        <w:t>5. Quality &amp; Compliance Requirements</w:t>
      </w:r>
    </w:p>
    <w:p>
      <w:pPr>
        <w:pStyle w:val="ListBullet"/>
      </w:pPr>
      <w:r>
        <w:rPr>
          <w:sz w:val="20"/>
        </w:rPr>
        <w:t>Certificate of Analysis (CoA) for each shipment — to be provided at least 5 days before vessel arrival</w:t>
      </w:r>
    </w:p>
    <w:p>
      <w:pPr>
        <w:pStyle w:val="ListBullet"/>
      </w:pPr>
      <w:r>
        <w:rPr>
          <w:sz w:val="20"/>
        </w:rPr>
        <w:t>GHS-compliant Safety Data Sheet (SDS) — must comply with EU CLP Revision 15 minimum</w:t>
      </w:r>
    </w:p>
    <w:p>
      <w:pPr>
        <w:pStyle w:val="ListBullet"/>
      </w:pPr>
      <w:r>
        <w:rPr>
          <w:sz w:val="20"/>
        </w:rPr>
        <w:t>ISO tank certificates: current inspection certificate (within 2.5 years), last cleaning certificate</w:t>
      </w:r>
    </w:p>
    <w:p>
      <w:pPr>
        <w:pStyle w:val="ListBullet"/>
      </w:pPr>
      <w:r>
        <w:rPr>
          <w:sz w:val="20"/>
        </w:rPr>
        <w:t>REACH pre-registration confirmation for both products (EU registration by supplier or importer of record)</w:t>
      </w:r>
    </w:p>
    <w:p>
      <w:pPr>
        <w:pStyle w:val="ListBullet"/>
      </w:pPr>
      <w:r>
        <w:rPr>
          <w:sz w:val="20"/>
        </w:rPr>
        <w:t>NEA import permit: supplier or Zava as importer of record to confirm compliance</w:t>
      </w:r>
    </w:p>
    <w:p>
      <w:pPr>
        <w:pStyle w:val="ListBullet"/>
      </w:pPr>
      <w:r>
        <w:rPr>
          <w:sz w:val="20"/>
        </w:rPr>
        <w:t>Product liability insurance: minimum USD 5 million per occurrence</w:t>
      </w:r>
    </w:p>
    <w:p/>
    <w:p>
      <w:pPr>
        <w:pStyle w:val="Heading1"/>
      </w:pPr>
      <w:r>
        <w:rPr>
          <w:color w:val="0F2545"/>
        </w:rPr>
        <w:t>6. Submission Requirements</w:t>
      </w:r>
    </w:p>
    <w:tbl>
      <w:tblPr>
        <w:tblStyle w:val="TableGrid"/>
        <w:tblW w:type="auto" w:w="0"/>
        <w:tblLook w:firstColumn="1" w:firstRow="1" w:lastColumn="0" w:lastRow="0" w:noHBand="0" w:noVBand="1" w:val="04A0"/>
      </w:tblPr>
      <w:tblGrid>
        <w:gridCol w:w="4536"/>
        <w:gridCol w:w="4536"/>
      </w:tblGrid>
      <w:tr>
        <w:tc>
          <w:tcPr>
            <w:tcW w:type="dxa" w:w="4536"/>
          </w:tcPr>
          <w:p>
            <w:r>
              <w:rPr>
                <w:b/>
                <w:sz w:val="20"/>
              </w:rPr>
              <w:t>Submission Deadline</w:t>
            </w:r>
          </w:p>
        </w:tc>
        <w:tc>
          <w:tcPr>
            <w:tcW w:type="dxa" w:w="4536"/>
          </w:tcPr>
          <w:p>
            <w:r>
              <w:rPr>
                <w:sz w:val="20"/>
              </w:rPr>
              <w:t>30 May 2025, 17:00 SGT</w:t>
            </w:r>
          </w:p>
        </w:tc>
      </w:tr>
      <w:tr>
        <w:tc>
          <w:tcPr>
            <w:tcW w:type="dxa" w:w="4536"/>
          </w:tcPr>
          <w:p>
            <w:r>
              <w:rPr>
                <w:b/>
                <w:sz w:val="20"/>
              </w:rPr>
              <w:t>Submission Method</w:t>
            </w:r>
          </w:p>
        </w:tc>
        <w:tc>
          <w:tcPr>
            <w:tcW w:type="dxa" w:w="4536"/>
          </w:tcPr>
          <w:p>
            <w:r>
              <w:rPr>
                <w:sz w:val="20"/>
              </w:rPr>
              <w:t>Email to procurement.rfq@zod.com.my with subject: ZOD-2025-T044 / [Company Name]</w:t>
            </w:r>
          </w:p>
        </w:tc>
      </w:tr>
      <w:tr>
        <w:tc>
          <w:tcPr>
            <w:tcW w:type="dxa" w:w="4536"/>
          </w:tcPr>
          <w:p>
            <w:r>
              <w:rPr>
                <w:b/>
                <w:sz w:val="20"/>
              </w:rPr>
              <w:t>Clarification Deadline</w:t>
            </w:r>
          </w:p>
        </w:tc>
        <w:tc>
          <w:tcPr>
            <w:tcW w:type="dxa" w:w="4536"/>
          </w:tcPr>
          <w:p>
            <w:r>
              <w:rPr>
                <w:sz w:val="20"/>
              </w:rPr>
              <w:t>23 May 2025 (submit questions via email — responses circulated to all bidders)</w:t>
            </w:r>
          </w:p>
        </w:tc>
      </w:tr>
      <w:tr>
        <w:tc>
          <w:tcPr>
            <w:tcW w:type="dxa" w:w="4536"/>
          </w:tcPr>
          <w:p>
            <w:r>
              <w:rPr>
                <w:b/>
                <w:sz w:val="20"/>
              </w:rPr>
              <w:t>Evaluation Criteria</w:t>
            </w:r>
          </w:p>
        </w:tc>
        <w:tc>
          <w:tcPr>
            <w:tcW w:type="dxa" w:w="4536"/>
          </w:tcPr>
          <w:p>
            <w:r>
              <w:rPr>
                <w:sz w:val="20"/>
              </w:rPr>
              <w:t>Price 50% | Reliability (OTD track record) 25% | Compliance &amp; Documentation 15% | Financial Standing 10%</w:t>
            </w:r>
          </w:p>
        </w:tc>
      </w:tr>
      <w:tr>
        <w:tc>
          <w:tcPr>
            <w:tcW w:type="dxa" w:w="4536"/>
          </w:tcPr>
          <w:p>
            <w:r>
              <w:rPr>
                <w:b/>
                <w:sz w:val="20"/>
              </w:rPr>
              <w:t>Award Date (Estimated)</w:t>
            </w:r>
          </w:p>
        </w:tc>
        <w:tc>
          <w:tcPr>
            <w:tcW w:type="dxa" w:w="4536"/>
          </w:tcPr>
          <w:p>
            <w:r>
              <w:rPr>
                <w:sz w:val="20"/>
              </w:rPr>
              <w:t>16 June 2025</w:t>
            </w:r>
          </w:p>
        </w:tc>
      </w:tr>
    </w:tbl>
    <w:p/>
    <w:p>
      <w:pPr>
        <w:pStyle w:val="Heading1"/>
      </w:pPr>
      <w:r>
        <w:rPr>
          <w:color w:val="0F2545"/>
        </w:rPr>
        <w:t>7. Terms and Conditions</w:t>
      </w:r>
    </w:p>
    <w:p>
      <w:pPr>
        <w:spacing w:after="80"/>
      </w:pPr>
      <w:r>
        <w:rPr>
          <w:b w:val="0"/>
          <w:sz w:val="21"/>
        </w:rPr>
        <w:t>This RFQ does not constitute a commitment to award a contract. ZOD reserves the right to accept or reject any or all quotations without providing reasons. All information submitted in response to this RFQ is treated as confidential. Quotations must be submitted in English. ZOD is not liable for any costs incurred in preparing this quotation.</w:t>
      </w:r>
    </w:p>
    <w:p/>
    <w:p>
      <w:r>
        <w:rPr>
          <w:sz w:val="20"/>
        </w:rPr>
        <w:t>Issued by:</w:t>
        <w:br/>
        <w:t>Ms. Tan Wei Lin</w:t>
        <w:br/>
        <w:t>Head of Procurement</w:t>
        <w:br/>
        <w:t>Pasir Gudang Aromatics Corporation Pte. Ltd.</w:t>
        <w:br/>
        <w:t>Date: 12 May 2025</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