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2D55"/>
          <w:sz w:val="44"/>
        </w:rPr>
        <w:t>ZAVA GROUP HOLDINGS BERHAD</w:t>
      </w:r>
    </w:p>
    <w:p>
      <w:pPr>
        <w:jc w:val="center"/>
      </w:pPr>
      <w:r>
        <w:rPr>
          <w:b/>
          <w:color w:val="00878A"/>
          <w:sz w:val="36"/>
        </w:rPr>
        <w:t>GROUP POLICY HANDBOOK</w:t>
      </w:r>
    </w:p>
    <w:p/>
    <w:p>
      <w:pPr>
        <w:jc w:val="center"/>
      </w:pPr>
      <w:r>
        <w:rPr>
          <w:color w:val="6B7280"/>
          <w:sz w:val="22"/>
        </w:rPr>
        <w:t>Effective Date: 1 January 2025  |  Version: 4.2</w:t>
        <w:br/>
        <w:t>Dual Headquarters: Kuala Lumpur, Malaysia &amp; Jakarta, Indonesia</w:t>
        <w:br/>
        <w:t>Approved by: Board of Directors — 15 December 2024</w:t>
      </w:r>
    </w:p>
    <w:p/>
    <w:p>
      <w:pPr>
        <w:jc w:val="center"/>
      </w:pPr>
      <w:r>
        <w:rPr>
          <w:b/>
          <w:color w:val="DC2626"/>
          <w:sz w:val="20"/>
        </w:rPr>
        <w:t>CONFIDENTIAL — FOR INTERNAL USE ONLY</w:t>
      </w:r>
    </w:p>
    <w:p>
      <w:r>
        <w:br w:type="page"/>
      </w:r>
    </w:p>
    <w:p>
      <w:pPr>
        <w:spacing w:before="360" w:after="120"/>
        <w:jc w:val="left"/>
        <w:pBdr>
          <w:bottom w:val="single" w:sz="6" w:space="1" w:color="1F2D55"/>
        </w:pBdr>
      </w:pPr>
      <w:r>
        <w:rPr>
          <w:b/>
          <w:color w:val="1F2D55"/>
          <w:sz w:val="32"/>
        </w:rPr>
        <w:t>Section 1: Corporate Governance Framework</w:t>
      </w:r>
    </w:p>
    <w:p>
      <w:pPr>
        <w:spacing w:after="120"/>
      </w:pPr>
      <w:r>
        <w:rPr>
          <w:color w:val="1A1A2E"/>
          <w:sz w:val="21"/>
        </w:rPr>
        <w:t>Zava Group Holdings Berhad ('the Group') is a diversified ASEAN conglomerate with dual-listed status on Bursa Malaysia (Main Market) and the Indonesia Stock Exchange (IDX). The Group operates across 11 business divisions employing approximately 87,000 persons in Malaysia, Indonesia, Singapore, and India.</w:t>
      </w:r>
    </w:p>
    <w:p>
      <w:pPr>
        <w:spacing w:before="240" w:after="80"/>
        <w:jc w:val="left"/>
      </w:pPr>
      <w:r>
        <w:rPr>
          <w:b/>
          <w:color w:val="00878A"/>
          <w:sz w:val="26"/>
        </w:rPr>
        <w:t>1.1 Board Composition</w:t>
      </w:r>
    </w:p>
    <w:p>
      <w:pPr>
        <w:spacing w:after="120"/>
      </w:pPr>
      <w:r>
        <w:rPr>
          <w:color w:val="1A1A2E"/>
          <w:sz w:val="21"/>
        </w:rPr>
        <w:t>The Board of Directors comprises a minimum of nine (9) and maximum of thirteen (13) members, maintaining at minimum one-third (1/3) independent non-executive directors in accordance with the Malaysian Code on Corporate Governance (MCCG 2021) and OJK Regulation No. 33/POJK.04/2014.</w:t>
      </w:r>
    </w:p>
    <w:p>
      <w:pPr>
        <w:pStyle w:val="ListBullet"/>
        <w:spacing w:after="60"/>
        <w:ind w:left="360"/>
      </w:pPr>
      <w:r>
        <w:rPr>
          <w:color w:val="1A1A2E"/>
          <w:sz w:val="21"/>
        </w:rPr>
        <w:t>Group Chairman: Tan Sri Dato' Haji Zavaree bin Mohd Rashid (Non-Executive Chairman)</w:t>
      </w:r>
    </w:p>
    <w:p>
      <w:pPr>
        <w:pStyle w:val="ListBullet"/>
        <w:spacing w:after="60"/>
        <w:ind w:left="360"/>
      </w:pPr>
      <w:r>
        <w:rPr>
          <w:color w:val="1A1A2E"/>
          <w:sz w:val="21"/>
        </w:rPr>
        <w:t>Group Chief Executive Officer: Dato' Sri Irfan Zavaree (Executive Director)</w:t>
      </w:r>
    </w:p>
    <w:p>
      <w:pPr>
        <w:pStyle w:val="ListBullet"/>
        <w:spacing w:after="60"/>
        <w:ind w:left="360"/>
      </w:pPr>
      <w:r>
        <w:rPr>
          <w:color w:val="1A1A2E"/>
          <w:sz w:val="21"/>
        </w:rPr>
        <w:t>Group Chief Financial Officer: Ms. Lim Wei Ling (Executive Director)</w:t>
      </w:r>
    </w:p>
    <w:p>
      <w:pPr>
        <w:pStyle w:val="ListBullet"/>
        <w:spacing w:after="60"/>
        <w:ind w:left="360"/>
      </w:pPr>
      <w:r>
        <w:rPr>
          <w:color w:val="1A1A2E"/>
          <w:sz w:val="21"/>
        </w:rPr>
        <w:t>Group Chief Strategy Officer: Mr. Marcus Chen (Executive Director)</w:t>
      </w:r>
    </w:p>
    <w:p>
      <w:pPr>
        <w:pStyle w:val="ListBullet"/>
        <w:spacing w:after="60"/>
        <w:ind w:left="360"/>
      </w:pPr>
      <w:r>
        <w:rPr>
          <w:color w:val="1A1A2E"/>
          <w:sz w:val="21"/>
        </w:rPr>
        <w:t>Group Chief Risk Officer: Encik Rizal Fadhillah (Executive Director)</w:t>
      </w:r>
    </w:p>
    <w:p>
      <w:pPr>
        <w:pStyle w:val="ListBullet"/>
        <w:spacing w:after="60"/>
        <w:ind w:left="360"/>
      </w:pPr>
      <w:r>
        <w:rPr>
          <w:color w:val="1A1A2E"/>
          <w:sz w:val="21"/>
        </w:rPr>
        <w:t>Lead Independent Director: Prof. Emeritus Dato' Sri Dr. Siti Rohani Yahya</w:t>
      </w:r>
    </w:p>
    <w:p>
      <w:pPr>
        <w:pStyle w:val="ListBullet"/>
        <w:spacing w:after="60"/>
        <w:ind w:left="360"/>
      </w:pPr>
      <w:r>
        <w:rPr>
          <w:color w:val="1A1A2E"/>
          <w:sz w:val="21"/>
        </w:rPr>
        <w:t>Independent Non-Executive Directors: minimum three (3) persons</w:t>
      </w:r>
    </w:p>
    <w:p>
      <w:pPr>
        <w:pStyle w:val="ListBullet"/>
        <w:spacing w:after="60"/>
        <w:ind w:left="360"/>
      </w:pPr>
      <w:r>
        <w:rPr>
          <w:color w:val="1A1A2E"/>
          <w:sz w:val="21"/>
        </w:rPr>
        <w:t>Non-Independent Non-Executive Directors: maximum four (4) persons</w:t>
      </w:r>
    </w:p>
    <w:p>
      <w:pPr>
        <w:spacing w:before="240" w:after="80"/>
        <w:jc w:val="left"/>
      </w:pPr>
      <w:r>
        <w:rPr>
          <w:b/>
          <w:color w:val="00878A"/>
          <w:sz w:val="26"/>
        </w:rPr>
        <w:t>1.2 Board Committees</w:t>
      </w:r>
    </w:p>
    <w:p>
      <w:pPr>
        <w:spacing w:after="120"/>
      </w:pPr>
      <w:r>
        <w:rPr>
          <w:color w:val="1A1A2E"/>
          <w:sz w:val="21"/>
        </w:rPr>
        <w:t>The Board maintains the following standing committees, each with written terms of reference reviewed annually:</w:t>
      </w:r>
    </w:p>
    <w:p>
      <w:pPr>
        <w:pStyle w:val="ListBullet"/>
        <w:spacing w:after="60"/>
        <w:ind w:left="360"/>
      </w:pPr>
      <w:r>
        <w:rPr>
          <w:color w:val="1A1A2E"/>
          <w:sz w:val="21"/>
        </w:rPr>
        <w:t>Audit Committee (AC) — minimum 3 members, all independent; reviews financial reporting, internal audit, and external audit</w:t>
      </w:r>
    </w:p>
    <w:p>
      <w:pPr>
        <w:pStyle w:val="ListBullet"/>
        <w:spacing w:after="60"/>
        <w:ind w:left="360"/>
      </w:pPr>
      <w:r>
        <w:rPr>
          <w:color w:val="1A1A2E"/>
          <w:sz w:val="21"/>
        </w:rPr>
        <w:t>Nomination &amp; Remuneration Committee (NRC) — reviews Board composition, succession planning, and executive remuneration</w:t>
      </w:r>
    </w:p>
    <w:p>
      <w:pPr>
        <w:pStyle w:val="ListBullet"/>
        <w:spacing w:after="60"/>
        <w:ind w:left="360"/>
      </w:pPr>
      <w:r>
        <w:rPr>
          <w:color w:val="1A1A2E"/>
          <w:sz w:val="21"/>
        </w:rPr>
        <w:t>Risk Management Committee (RMC) — oversees enterprise risk framework, risk appetite, and material risk events</w:t>
      </w:r>
    </w:p>
    <w:p>
      <w:pPr>
        <w:pStyle w:val="ListBullet"/>
        <w:spacing w:after="60"/>
        <w:ind w:left="360"/>
      </w:pPr>
      <w:r>
        <w:rPr>
          <w:color w:val="1A1A2E"/>
          <w:sz w:val="21"/>
        </w:rPr>
        <w:t>Sustainability Committee (SC) — oversees ESG strategy, TCFD disclosures, and sustainability reporting</w:t>
      </w:r>
    </w:p>
    <w:p>
      <w:pPr>
        <w:pStyle w:val="ListBullet"/>
        <w:spacing w:after="60"/>
        <w:ind w:left="360"/>
      </w:pPr>
      <w:r>
        <w:rPr>
          <w:color w:val="1A1A2E"/>
          <w:sz w:val="21"/>
        </w:rPr>
        <w:t>Investment Committee (IC) — approves M&amp;A transactions, capital expenditure exceeding MYR 50 million, and joint ventures</w:t>
      </w:r>
    </w:p>
    <w:p>
      <w:pPr>
        <w:spacing w:before="240" w:after="80"/>
        <w:jc w:val="left"/>
      </w:pPr>
      <w:r>
        <w:rPr>
          <w:b/>
          <w:color w:val="00878A"/>
          <w:sz w:val="26"/>
        </w:rPr>
        <w:t>1.3 GLC Governance Guidelines</w:t>
      </w:r>
    </w:p>
    <w:p>
      <w:pPr>
        <w:spacing w:after="120"/>
      </w:pPr>
      <w:r>
        <w:rPr>
          <w:color w:val="1A1A2E"/>
          <w:sz w:val="21"/>
        </w:rPr>
        <w:t>For subsidiaries classified as Government-Linked Companies (GLCs) under Khazanah Nasional Berhad, Permodalan Nasional Berhad (PNB), or KWAP stewardship, additional governance standards apply per the Green Book on Enhancing Board Effectiveness (2006, as updated). The Group's Indonesian subsidiary PT Zava Nusantara Holdings complies with the OJK Corporate Governance Roadmap 2014–2023 and Regulation OJK No. 21/POJK.04/2015 on Corporate Governance Principles.</w:t>
      </w:r>
    </w:p>
    <w:p>
      <w:pPr>
        <w:spacing w:before="120" w:after="120"/>
        <w:ind w:left="432" w:right="432"/>
        <w:shd w:val="clear" w:color="auto" w:fill="EEF2FF"/>
      </w:pPr>
      <w:r>
        <w:rPr>
          <w:b/>
          <w:color w:val="1F2D55"/>
          <w:sz w:val="21"/>
        </w:rPr>
        <w:t xml:space="preserve">Policy Statement: </w:t>
      </w:r>
      <w:r>
        <w:rPr>
          <w:color w:val="1A1A2E"/>
          <w:sz w:val="21"/>
        </w:rPr>
        <w:t>All members of the Board and senior management are required to disclose potential conflicts of interest and abstain from related-party deliberations and voting. Material related-party transactions require approval by the Audit Committee and, where mandated under Listing Requirements, by independent shareholders.</w:t>
      </w:r>
    </w:p>
    <w:p>
      <w:r>
        <w:br w:type="page"/>
      </w:r>
    </w:p>
    <w:p>
      <w:pPr>
        <w:spacing w:before="360" w:after="120"/>
        <w:jc w:val="left"/>
        <w:pBdr>
          <w:bottom w:val="single" w:sz="6" w:space="1" w:color="1F2D55"/>
        </w:pBdr>
      </w:pPr>
      <w:r>
        <w:rPr>
          <w:b/>
          <w:color w:val="1F2D55"/>
          <w:sz w:val="32"/>
        </w:rPr>
        <w:t>Section 2: Code of Ethics &amp; Business Conduct</w:t>
      </w:r>
    </w:p>
    <w:p>
      <w:pPr>
        <w:spacing w:after="120"/>
      </w:pPr>
      <w:r>
        <w:rPr>
          <w:color w:val="1A1A2E"/>
          <w:sz w:val="21"/>
        </w:rPr>
        <w:t>The Zava Group Code of Ethics ('the Code') establishes the standards of conduct expected of all employees, directors, contractors, and agents of the Group. Compliance with the Code is a condition of employment and engagement.</w:t>
      </w:r>
    </w:p>
    <w:p>
      <w:pPr>
        <w:spacing w:before="240" w:after="80"/>
        <w:jc w:val="left"/>
      </w:pPr>
      <w:r>
        <w:rPr>
          <w:b/>
          <w:color w:val="00878A"/>
          <w:sz w:val="26"/>
        </w:rPr>
        <w:t>2.1 Anti-Bribery &amp; Anti-Corruption</w:t>
      </w:r>
    </w:p>
    <w:p>
      <w:pPr>
        <w:spacing w:after="120"/>
      </w:pPr>
      <w:r>
        <w:rPr>
          <w:color w:val="1A1A2E"/>
          <w:sz w:val="21"/>
        </w:rPr>
        <w:t>The Group has zero tolerance for bribery and corruption in all its forms, whether in dealings with public officials, regulators, customers, suppliers, or business partners. This policy complies with the Malaysian Anti-Corruption Commission Act 2009 (MACC Act), Section 17A Corporate Liability provisions, and Indonesia's Law No. 31 of 1999 on Corruption Eradication as amended by Law No. 20/2001.</w:t>
      </w:r>
    </w:p>
    <w:p>
      <w:pPr>
        <w:pStyle w:val="ListBullet"/>
        <w:spacing w:after="60"/>
        <w:ind w:left="360"/>
      </w:pPr>
      <w:r>
        <w:rPr>
          <w:color w:val="1A1A2E"/>
          <w:sz w:val="21"/>
        </w:rPr>
        <w:t>No employee or representative may offer, promise, give, request, agree to receive, or accept a bribe</w:t>
      </w:r>
    </w:p>
    <w:p>
      <w:pPr>
        <w:pStyle w:val="ListBullet"/>
        <w:spacing w:after="60"/>
        <w:ind w:left="360"/>
      </w:pPr>
      <w:r>
        <w:rPr>
          <w:color w:val="1A1A2E"/>
          <w:sz w:val="21"/>
        </w:rPr>
        <w:t>Facilitation payments are prohibited regardless of amount or jurisdiction</w:t>
      </w:r>
    </w:p>
    <w:p>
      <w:pPr>
        <w:pStyle w:val="ListBullet"/>
        <w:spacing w:after="60"/>
        <w:ind w:left="360"/>
      </w:pPr>
      <w:r>
        <w:rPr>
          <w:color w:val="1A1A2E"/>
          <w:sz w:val="21"/>
        </w:rPr>
        <w:t>Gifts and hospitality must be within approved thresholds (MYR 500 / IDR 2,000,000 per instance)</w:t>
      </w:r>
    </w:p>
    <w:p>
      <w:pPr>
        <w:pStyle w:val="ListBullet"/>
        <w:spacing w:after="60"/>
        <w:ind w:left="360"/>
      </w:pPr>
      <w:r>
        <w:rPr>
          <w:color w:val="1A1A2E"/>
          <w:sz w:val="21"/>
        </w:rPr>
        <w:t>Political contributions by the Group are strictly prohibited</w:t>
      </w:r>
    </w:p>
    <w:p>
      <w:pPr>
        <w:pStyle w:val="ListBullet"/>
        <w:spacing w:after="60"/>
        <w:ind w:left="360"/>
      </w:pPr>
      <w:r>
        <w:rPr>
          <w:color w:val="1A1A2E"/>
          <w:sz w:val="21"/>
        </w:rPr>
        <w:t>All third-party agents and intermediaries must pass Anti-Bribery due diligence before engagement</w:t>
      </w:r>
    </w:p>
    <w:p>
      <w:pPr>
        <w:spacing w:before="240" w:after="80"/>
        <w:jc w:val="left"/>
      </w:pPr>
      <w:r>
        <w:rPr>
          <w:b/>
          <w:color w:val="00878A"/>
          <w:sz w:val="26"/>
        </w:rPr>
        <w:t>2.2 Whistleblower Protection</w:t>
      </w:r>
    </w:p>
    <w:p>
      <w:pPr>
        <w:spacing w:after="120"/>
      </w:pPr>
      <w:r>
        <w:rPr>
          <w:color w:val="1A1A2E"/>
          <w:sz w:val="21"/>
        </w:rPr>
        <w:t>The Group maintains a confidential Whistleblower Channel accessible via email (ethics@zavagroup.com), dedicated hotline (+60-3-XXXX-XXXX / +62-21-XXXX-XXXX), and secure web portal. Reports may be made anonymously. The Group complies with the Whistleblower Protection Act 2010 (Malaysia) and Government Regulation No. 43/2018 (Indonesia).</w:t>
      </w:r>
    </w:p>
    <w:p>
      <w:pPr>
        <w:spacing w:before="120" w:after="120"/>
        <w:ind w:left="432" w:right="432"/>
        <w:shd w:val="clear" w:color="auto" w:fill="EEF2FF"/>
      </w:pPr>
      <w:r>
        <w:rPr>
          <w:b/>
          <w:color w:val="1F2D55"/>
          <w:sz w:val="21"/>
        </w:rPr>
        <w:t xml:space="preserve">Non-Retaliation: </w:t>
      </w:r>
      <w:r>
        <w:rPr>
          <w:color w:val="1A1A2E"/>
          <w:sz w:val="21"/>
        </w:rPr>
        <w:t>No adverse action shall be taken against any person who in good faith reports a suspected violation of the Code. Confirmed retaliation against a whistleblower constitutes a serious disciplinary offence.</w:t>
      </w:r>
    </w:p>
    <w:p>
      <w:pPr>
        <w:spacing w:before="240" w:after="80"/>
        <w:jc w:val="left"/>
      </w:pPr>
      <w:r>
        <w:rPr>
          <w:b/>
          <w:color w:val="00878A"/>
          <w:sz w:val="26"/>
        </w:rPr>
        <w:t>2.3 Gifts, Entertainment &amp; Hospitality</w:t>
      </w:r>
    </w:p>
    <w:p>
      <w:pPr>
        <w:spacing w:after="120"/>
      </w:pPr>
      <w:r>
        <w:rPr>
          <w:color w:val="1A1A2E"/>
          <w:sz w:val="21"/>
        </w:rPr>
        <w:t>Employees must register all gifts received exceeding MYR 100 / IDR 500,000 in value in the Group's Gift Register maintained by Group Compliance. Gifts must not be cash or cash-equivalent. Entertainment and hospitality offered to or received from external parties must be reasonable, infrequent, and transparent.</w:t>
      </w:r>
    </w:p>
    <w:p>
      <w:r>
        <w:br w:type="page"/>
      </w:r>
    </w:p>
    <w:p>
      <w:pPr>
        <w:spacing w:before="360" w:after="120"/>
        <w:jc w:val="left"/>
        <w:pBdr>
          <w:bottom w:val="single" w:sz="6" w:space="1" w:color="1F2D55"/>
        </w:pBdr>
      </w:pPr>
      <w:r>
        <w:rPr>
          <w:b/>
          <w:color w:val="1F2D55"/>
          <w:sz w:val="32"/>
        </w:rPr>
        <w:t>Section 3: Human Resources Policy</w:t>
      </w:r>
    </w:p>
    <w:p>
      <w:pPr>
        <w:spacing w:after="120"/>
      </w:pPr>
      <w:r>
        <w:rPr>
          <w:color w:val="1A1A2E"/>
          <w:sz w:val="21"/>
        </w:rPr>
        <w:t>The Group's Human Resources policies apply to all permanent, contract, and probationary employees across all jurisdictions. Division-specific HR manuals supplement this policy for local legislative compliance.</w:t>
      </w:r>
    </w:p>
    <w:p>
      <w:pPr>
        <w:spacing w:before="240" w:after="80"/>
        <w:jc w:val="left"/>
      </w:pPr>
      <w:r>
        <w:rPr>
          <w:b/>
          <w:color w:val="00878A"/>
          <w:sz w:val="26"/>
        </w:rPr>
        <w:t>3.1 Leave Entitlements</w:t>
      </w:r>
    </w:p>
    <w:p>
      <w:pPr>
        <w:pStyle w:val="ListBullet"/>
        <w:spacing w:after="60"/>
        <w:ind w:left="360"/>
      </w:pPr>
      <w:r>
        <w:rPr>
          <w:color w:val="1A1A2E"/>
          <w:sz w:val="21"/>
        </w:rPr>
        <w:t>Annual Leave: 14 days (service &lt; 2 years), 18 days (2–5 years), 22 days (&gt; 5 years) — Malaysia reference EA 1955</w:t>
      </w:r>
    </w:p>
    <w:p>
      <w:pPr>
        <w:pStyle w:val="ListBullet"/>
        <w:spacing w:after="60"/>
        <w:ind w:left="360"/>
      </w:pPr>
      <w:r>
        <w:rPr>
          <w:color w:val="1A1A2E"/>
          <w:sz w:val="21"/>
        </w:rPr>
        <w:t>Sick Leave: 14 days outpatient (&lt; 2 years), 18 days (2–5 years), 22 days (&gt; 5 years); 60 days hospitalisation</w:t>
      </w:r>
    </w:p>
    <w:p>
      <w:pPr>
        <w:pStyle w:val="ListBullet"/>
        <w:spacing w:after="60"/>
        <w:ind w:left="360"/>
      </w:pPr>
      <w:r>
        <w:rPr>
          <w:color w:val="1A1A2E"/>
          <w:sz w:val="21"/>
        </w:rPr>
        <w:t>Maternity Leave: 98 days for eligible female employees (Malaysia EA 2022 Amendment); 90 days for Indonesian employees (UU Ketenagakerjaan No. 13/2003)</w:t>
      </w:r>
    </w:p>
    <w:p>
      <w:pPr>
        <w:pStyle w:val="ListBullet"/>
        <w:spacing w:after="60"/>
        <w:ind w:left="360"/>
      </w:pPr>
      <w:r>
        <w:rPr>
          <w:color w:val="1A1A2E"/>
          <w:sz w:val="21"/>
        </w:rPr>
        <w:t>Paternity Leave: 7 days (Malaysia); 2 days (Indonesia — statutory minimum)</w:t>
      </w:r>
    </w:p>
    <w:p>
      <w:pPr>
        <w:pStyle w:val="ListBullet"/>
        <w:spacing w:after="60"/>
        <w:ind w:left="360"/>
      </w:pPr>
      <w:r>
        <w:rPr>
          <w:color w:val="1A1A2E"/>
          <w:sz w:val="21"/>
        </w:rPr>
        <w:t>Emergency Leave: Up to 3 days per incident for immediate family bereavement or medical emergency</w:t>
      </w:r>
    </w:p>
    <w:p>
      <w:pPr>
        <w:pStyle w:val="ListBullet"/>
        <w:spacing w:after="60"/>
        <w:ind w:left="360"/>
      </w:pPr>
      <w:r>
        <w:rPr>
          <w:color w:val="1A1A2E"/>
          <w:sz w:val="21"/>
        </w:rPr>
        <w:t>Religious Leave: Up to 12 days for Haj pilgrimage (once in service); 1 day per week for Friday Jumu'ah prayer where operationally feasible</w:t>
      </w:r>
    </w:p>
    <w:p>
      <w:pPr>
        <w:spacing w:before="240" w:after="80"/>
        <w:jc w:val="left"/>
      </w:pPr>
      <w:r>
        <w:rPr>
          <w:b/>
          <w:color w:val="00878A"/>
          <w:sz w:val="26"/>
        </w:rPr>
        <w:t>3.2 Performance Management</w:t>
      </w:r>
    </w:p>
    <w:p>
      <w:pPr>
        <w:spacing w:after="120"/>
      </w:pPr>
      <w:r>
        <w:rPr>
          <w:color w:val="1A1A2E"/>
          <w:sz w:val="21"/>
        </w:rPr>
        <w:t>The Group operates a biannual performance review cycle (mid-year: July, year-end: December) using the Group Performance Management System (GPMS). All employees are assessed against:</w:t>
      </w:r>
    </w:p>
    <w:p>
      <w:pPr>
        <w:pStyle w:val="ListBullet"/>
        <w:spacing w:after="60"/>
        <w:ind w:left="360"/>
      </w:pPr>
      <w:r>
        <w:rPr>
          <w:color w:val="1A1A2E"/>
          <w:sz w:val="21"/>
        </w:rPr>
        <w:t>Quantitative KPIs (60% weight): tied to divisional financial targets and individual deliverables</w:t>
      </w:r>
    </w:p>
    <w:p>
      <w:pPr>
        <w:pStyle w:val="ListBullet"/>
        <w:spacing w:after="60"/>
        <w:ind w:left="360"/>
      </w:pPr>
      <w:r>
        <w:rPr>
          <w:color w:val="1A1A2E"/>
          <w:sz w:val="21"/>
        </w:rPr>
        <w:t>Behavioural Competencies (30% weight): aligned to Zava Leadership Values (Integrity, Innovation, Impact, Inclusivity)</w:t>
      </w:r>
    </w:p>
    <w:p>
      <w:pPr>
        <w:pStyle w:val="ListBullet"/>
        <w:spacing w:after="60"/>
        <w:ind w:left="360"/>
      </w:pPr>
      <w:r>
        <w:rPr>
          <w:color w:val="1A1A2E"/>
          <w:sz w:val="21"/>
        </w:rPr>
        <w:t>ESG &amp; Sustainability Objectives (10% weight): mandatory for Grade C5 and above</w:t>
      </w:r>
    </w:p>
    <w:p>
      <w:pPr>
        <w:spacing w:after="120"/>
      </w:pPr>
      <w:r>
        <w:rPr>
          <w:color w:val="1A1A2E"/>
          <w:sz w:val="21"/>
        </w:rPr>
        <w:t>Forced distribution applies only at Grade C6 and above. Underperformance (Below Expectations rating) triggers a 90-day Performance Improvement Plan (PIP) with structured support and review milestones.</w:t>
      </w:r>
    </w:p>
    <w:p>
      <w:pPr>
        <w:spacing w:before="240" w:after="80"/>
        <w:jc w:val="left"/>
      </w:pPr>
      <w:r>
        <w:rPr>
          <w:b/>
          <w:color w:val="00878A"/>
          <w:sz w:val="26"/>
        </w:rPr>
        <w:t>3.3 Learning &amp; Development</w:t>
      </w:r>
    </w:p>
    <w:p>
      <w:pPr>
        <w:spacing w:after="120"/>
      </w:pPr>
      <w:r>
        <w:rPr>
          <w:color w:val="1A1A2E"/>
          <w:sz w:val="21"/>
        </w:rPr>
        <w:t>Each employee is entitled to a minimum of 40 training hours per year. The Group allocates MYR 2,400 (Malaysia) / IDR 12,000,000 (Indonesia) per head for external training annually. The Zava Learning Academy provides mandatory programmes:</w:t>
      </w:r>
    </w:p>
    <w:p>
      <w:pPr>
        <w:pStyle w:val="ListBullet"/>
        <w:spacing w:after="60"/>
        <w:ind w:left="360"/>
      </w:pPr>
      <w:r>
        <w:rPr>
          <w:color w:val="1A1A2E"/>
          <w:sz w:val="21"/>
        </w:rPr>
        <w:t>Zava Induction Programme (3 days) — mandatory for all new joiners within 30 days of onboarding</w:t>
      </w:r>
    </w:p>
    <w:p>
      <w:pPr>
        <w:pStyle w:val="ListBullet"/>
        <w:spacing w:after="60"/>
        <w:ind w:left="360"/>
      </w:pPr>
      <w:r>
        <w:rPr>
          <w:color w:val="1A1A2E"/>
          <w:sz w:val="21"/>
        </w:rPr>
        <w:t>Anti-Bribery &amp; Ethics (e-learning, 2 hours) — mandatory annually for all staff</w:t>
      </w:r>
    </w:p>
    <w:p>
      <w:pPr>
        <w:pStyle w:val="ListBullet"/>
        <w:spacing w:after="60"/>
        <w:ind w:left="360"/>
      </w:pPr>
      <w:r>
        <w:rPr>
          <w:color w:val="1A1A2E"/>
          <w:sz w:val="21"/>
        </w:rPr>
        <w:t>Data Privacy &amp; Cybersecurity Awareness (e-learning, 1.5 hours) — mandatory bi-annually</w:t>
      </w:r>
    </w:p>
    <w:p>
      <w:pPr>
        <w:pStyle w:val="ListBullet"/>
        <w:spacing w:after="60"/>
        <w:ind w:left="360"/>
      </w:pPr>
      <w:r>
        <w:rPr>
          <w:color w:val="1A1A2E"/>
          <w:sz w:val="21"/>
        </w:rPr>
        <w:t>Leadership Development Programme (LDP) — nomination-based, Grade C5 and above</w:t>
      </w:r>
    </w:p>
    <w:p>
      <w:pPr>
        <w:pStyle w:val="ListBullet"/>
        <w:spacing w:after="60"/>
        <w:ind w:left="360"/>
      </w:pPr>
      <w:r>
        <w:rPr>
          <w:color w:val="1A1A2E"/>
          <w:sz w:val="21"/>
        </w:rPr>
        <w:t>Microsoft 365 Copilot Productivity Programme — mandatory rollout FY2025, all knowledge workers</w:t>
      </w:r>
    </w:p>
    <w:p>
      <w:pPr>
        <w:spacing w:before="240" w:after="80"/>
        <w:jc w:val="left"/>
      </w:pPr>
      <w:r>
        <w:rPr>
          <w:b/>
          <w:color w:val="00878A"/>
          <w:sz w:val="26"/>
        </w:rPr>
        <w:t>3.4 Diversity, Equity &amp; Inclusion</w:t>
      </w:r>
    </w:p>
    <w:p>
      <w:pPr>
        <w:spacing w:before="120" w:after="120"/>
        <w:ind w:left="432" w:right="432"/>
        <w:shd w:val="clear" w:color="auto" w:fill="EEF2FF"/>
      </w:pPr>
      <w:r>
        <w:rPr>
          <w:b/>
          <w:color w:val="1F2D55"/>
          <w:sz w:val="21"/>
        </w:rPr>
        <w:t xml:space="preserve">DEI Target: </w:t>
      </w:r>
      <w:r>
        <w:rPr>
          <w:color w:val="1A1A2E"/>
          <w:sz w:val="21"/>
        </w:rPr>
        <w:t>The Group targets 40% women in management (Grade C5 and above) by FY2028, and 30% women in senior leadership (C7 and above) by FY2030. Current FY2024 baseline: 34% women in management overall (varies: 48% Zava Bank, 18% Zava Agribusiness).</w:t>
      </w:r>
    </w:p>
    <w:p>
      <w:r>
        <w:br w:type="page"/>
      </w:r>
    </w:p>
    <w:p>
      <w:pPr>
        <w:spacing w:before="360" w:after="120"/>
        <w:jc w:val="left"/>
        <w:pBdr>
          <w:bottom w:val="single" w:sz="6" w:space="1" w:color="1F2D55"/>
        </w:pBdr>
      </w:pPr>
      <w:r>
        <w:rPr>
          <w:b/>
          <w:color w:val="1F2D55"/>
          <w:sz w:val="32"/>
        </w:rPr>
        <w:t>Section 4: Financial Governance &amp; Treasury Policy</w:t>
      </w:r>
    </w:p>
    <w:p>
      <w:pPr>
        <w:spacing w:after="120"/>
      </w:pPr>
      <w:r>
        <w:rPr>
          <w:color w:val="1A1A2E"/>
          <w:sz w:val="21"/>
        </w:rPr>
        <w:t>The Group Financial Governance Framework establishes the principles for financial reporting, treasury risk management, and capital allocation across all subsidiaries and associated companies.</w:t>
      </w:r>
    </w:p>
    <w:p>
      <w:pPr>
        <w:spacing w:before="240" w:after="80"/>
        <w:jc w:val="left"/>
      </w:pPr>
      <w:r>
        <w:rPr>
          <w:b/>
          <w:color w:val="00878A"/>
          <w:sz w:val="26"/>
        </w:rPr>
        <w:t>4.1 Delegation of Authority (DoA)</w:t>
      </w:r>
    </w:p>
    <w:p>
      <w:pPr>
        <w:spacing w:after="120"/>
      </w:pPr>
      <w:r>
        <w:rPr>
          <w:color w:val="1A1A2E"/>
          <w:sz w:val="21"/>
        </w:rPr>
        <w:t>Financial commitments, approvals, and disposals are governed by the Group Delegation of Authority Matrix, reviewed annually by the Board. Key thresholds:</w:t>
      </w:r>
    </w:p>
    <w:p>
      <w:pPr>
        <w:pStyle w:val="ListBullet"/>
        <w:spacing w:after="60"/>
        <w:ind w:left="360"/>
      </w:pPr>
      <w:r>
        <w:rPr>
          <w:color w:val="1A1A2E"/>
          <w:sz w:val="21"/>
        </w:rPr>
        <w:t>Capex/Opex up to MYR 1M: Divisional CEO</w:t>
      </w:r>
    </w:p>
    <w:p>
      <w:pPr>
        <w:pStyle w:val="ListBullet"/>
        <w:spacing w:after="60"/>
        <w:ind w:left="360"/>
      </w:pPr>
      <w:r>
        <w:rPr>
          <w:color w:val="1A1A2E"/>
          <w:sz w:val="21"/>
        </w:rPr>
        <w:t>MYR 1M–MYR 10M: Group CFO co-approval required</w:t>
      </w:r>
    </w:p>
    <w:p>
      <w:pPr>
        <w:pStyle w:val="ListBullet"/>
        <w:spacing w:after="60"/>
        <w:ind w:left="360"/>
      </w:pPr>
      <w:r>
        <w:rPr>
          <w:color w:val="1A1A2E"/>
          <w:sz w:val="21"/>
        </w:rPr>
        <w:t>MYR 10M–MYR 50M: Group CEO approval</w:t>
      </w:r>
    </w:p>
    <w:p>
      <w:pPr>
        <w:pStyle w:val="ListBullet"/>
        <w:spacing w:after="60"/>
        <w:ind w:left="360"/>
      </w:pPr>
      <w:r>
        <w:rPr>
          <w:color w:val="1A1A2E"/>
          <w:sz w:val="21"/>
        </w:rPr>
        <w:t>MYR 50M–MYR 200M: Investment Committee approval</w:t>
      </w:r>
    </w:p>
    <w:p>
      <w:pPr>
        <w:pStyle w:val="ListBullet"/>
        <w:spacing w:after="60"/>
        <w:ind w:left="360"/>
      </w:pPr>
      <w:r>
        <w:rPr>
          <w:color w:val="1A1A2E"/>
          <w:sz w:val="21"/>
        </w:rPr>
        <w:t>Above MYR 200M or acquisitions/disposals: Full Board approval</w:t>
      </w:r>
    </w:p>
    <w:p>
      <w:pPr>
        <w:pStyle w:val="ListBullet"/>
        <w:spacing w:after="60"/>
        <w:ind w:left="360"/>
      </w:pPr>
      <w:r>
        <w:rPr>
          <w:color w:val="1A1A2E"/>
          <w:sz w:val="21"/>
        </w:rPr>
        <w:t>Any transaction involving a related party: Audit Committee and, if material under Listing Requirements, shareholder approval</w:t>
      </w:r>
    </w:p>
    <w:p>
      <w:pPr>
        <w:spacing w:before="240" w:after="80"/>
        <w:jc w:val="left"/>
      </w:pPr>
      <w:r>
        <w:rPr>
          <w:b/>
          <w:color w:val="00878A"/>
          <w:sz w:val="26"/>
        </w:rPr>
        <w:t>4.2 Treasury &amp; FOREX Policy</w:t>
      </w:r>
    </w:p>
    <w:p>
      <w:pPr>
        <w:spacing w:after="120"/>
      </w:pPr>
      <w:r>
        <w:rPr>
          <w:color w:val="1A1A2E"/>
          <w:sz w:val="21"/>
        </w:rPr>
        <w:t>The Group is exposed to FOREX risk from its multi-currency operations across MYR, IDR, USD, SGD, and EUR. The Group Treasury Policy mandates:</w:t>
      </w:r>
    </w:p>
    <w:p>
      <w:pPr>
        <w:pStyle w:val="ListBullet"/>
        <w:spacing w:after="60"/>
        <w:ind w:left="360"/>
      </w:pPr>
      <w:r>
        <w:rPr>
          <w:color w:val="1A1A2E"/>
          <w:sz w:val="21"/>
        </w:rPr>
        <w:t>Natural hedging as the primary risk management tool — matching revenues and costs in the same currency where possible</w:t>
      </w:r>
    </w:p>
    <w:p>
      <w:pPr>
        <w:pStyle w:val="ListBullet"/>
        <w:spacing w:after="60"/>
        <w:ind w:left="360"/>
      </w:pPr>
      <w:r>
        <w:rPr>
          <w:color w:val="1A1A2E"/>
          <w:sz w:val="21"/>
        </w:rPr>
        <w:t>Forward contracts and options permitted up to 12-month tenor for material exposures exceeding USD 5M equivalent</w:t>
      </w:r>
    </w:p>
    <w:p>
      <w:pPr>
        <w:pStyle w:val="ListBullet"/>
        <w:spacing w:after="60"/>
        <w:ind w:left="360"/>
      </w:pPr>
      <w:r>
        <w:rPr>
          <w:color w:val="1A1A2E"/>
          <w:sz w:val="21"/>
        </w:rPr>
        <w:t>Speculative FOREX positions are strictly prohibited</w:t>
      </w:r>
    </w:p>
    <w:p>
      <w:pPr>
        <w:pStyle w:val="ListBullet"/>
        <w:spacing w:after="60"/>
        <w:ind w:left="360"/>
      </w:pPr>
      <w:r>
        <w:rPr>
          <w:color w:val="1A1A2E"/>
          <w:sz w:val="21"/>
        </w:rPr>
        <w:t>All derivative instruments require CFO approval and Board Risk Committee notification if &gt; USD 20M equivalent</w:t>
      </w:r>
    </w:p>
    <w:p>
      <w:pPr>
        <w:pStyle w:val="ListBullet"/>
        <w:spacing w:after="60"/>
        <w:ind w:left="360"/>
      </w:pPr>
      <w:r>
        <w:rPr>
          <w:color w:val="1A1A2E"/>
          <w:sz w:val="21"/>
        </w:rPr>
        <w:t>Group consolidates treasury at Group level; divisional treasuries operate within approved limits</w:t>
      </w:r>
    </w:p>
    <w:p>
      <w:pPr>
        <w:spacing w:before="240" w:after="80"/>
        <w:jc w:val="left"/>
      </w:pPr>
      <w:r>
        <w:rPr>
          <w:b/>
          <w:color w:val="00878A"/>
          <w:sz w:val="26"/>
        </w:rPr>
        <w:t>4.3 Interest Rate Risk</w:t>
      </w:r>
    </w:p>
    <w:p>
      <w:pPr>
        <w:spacing w:after="120"/>
      </w:pPr>
      <w:r>
        <w:rPr>
          <w:color w:val="1A1A2E"/>
          <w:sz w:val="21"/>
        </w:rPr>
        <w:t>The Group's net debt position of MYR 18.4 billion (FY2024) exposes it to interest rate risk. Approximately 42% of borrowings are at fixed rates; 58% are floating (SOFR/OPR-linked). The Treasury function monitors the Group's sensitivity, where a 50bps OPR increase would impact FY2025 finance costs by approximately MYR 53M.</w:t>
      </w:r>
    </w:p>
    <w:p>
      <w:r>
        <w:br w:type="page"/>
      </w:r>
    </w:p>
    <w:p>
      <w:pPr>
        <w:spacing w:before="360" w:after="120"/>
        <w:jc w:val="left"/>
        <w:pBdr>
          <w:bottom w:val="single" w:sz="6" w:space="1" w:color="1F2D55"/>
        </w:pBdr>
      </w:pPr>
      <w:r>
        <w:rPr>
          <w:b/>
          <w:color w:val="1F2D55"/>
          <w:sz w:val="32"/>
        </w:rPr>
        <w:t>Section 5: Procurement &amp; Supply Chain Policy</w:t>
      </w:r>
    </w:p>
    <w:p>
      <w:pPr>
        <w:spacing w:after="120"/>
      </w:pPr>
      <w:r>
        <w:rPr>
          <w:color w:val="1A1A2E"/>
          <w:sz w:val="21"/>
        </w:rPr>
        <w:t>The Group Procurement Policy governs all purchases of goods and services across Group entities. Centralised procurement through Group Procurement Centre (GPC) is mandatory for Group-wide contracts and strategic categories.</w:t>
      </w:r>
    </w:p>
    <w:p>
      <w:pPr>
        <w:spacing w:before="240" w:after="80"/>
        <w:jc w:val="left"/>
      </w:pPr>
      <w:r>
        <w:rPr>
          <w:b/>
          <w:color w:val="00878A"/>
          <w:sz w:val="26"/>
        </w:rPr>
        <w:t>5.1 Vendor Selection &amp; Approval</w:t>
      </w:r>
    </w:p>
    <w:p>
      <w:pPr>
        <w:spacing w:after="120"/>
      </w:pPr>
      <w:r>
        <w:rPr>
          <w:color w:val="1A1A2E"/>
          <w:sz w:val="21"/>
        </w:rPr>
        <w:t>All new vendors must complete the Zava Vendor Registration Portal (VRP) and pass a three-tier qualification process:</w:t>
      </w:r>
    </w:p>
    <w:p>
      <w:pPr>
        <w:pStyle w:val="ListBullet"/>
        <w:spacing w:after="60"/>
        <w:ind w:left="360"/>
      </w:pPr>
      <w:r>
        <w:rPr>
          <w:color w:val="1A1A2E"/>
          <w:sz w:val="21"/>
        </w:rPr>
        <w:t>Tier 1 — Financial &amp; Legal Check: Incorporation, beneficial ownership disclosure, financial standing, blacklist screening (MACC, LHDN, OJK watchlists)</w:t>
      </w:r>
    </w:p>
    <w:p>
      <w:pPr>
        <w:pStyle w:val="ListBullet"/>
        <w:spacing w:after="60"/>
        <w:ind w:left="360"/>
      </w:pPr>
      <w:r>
        <w:rPr>
          <w:color w:val="1A1A2E"/>
          <w:sz w:val="21"/>
        </w:rPr>
        <w:t>Tier 2 — Operational &amp; Compliance Check: HSE record, ISO/quality certifications, insurance coverage, PDPA/data privacy compliance</w:t>
      </w:r>
    </w:p>
    <w:p>
      <w:pPr>
        <w:pStyle w:val="ListBullet"/>
        <w:spacing w:after="60"/>
        <w:ind w:left="360"/>
      </w:pPr>
      <w:r>
        <w:rPr>
          <w:color w:val="1A1A2E"/>
          <w:sz w:val="21"/>
        </w:rPr>
        <w:t>Tier 3 — ESG Screening: NDPE compliance for plantation-related suppliers, environmental performance, labour practices, human rights (ILO core conventions)</w:t>
      </w:r>
    </w:p>
    <w:p>
      <w:pPr>
        <w:spacing w:before="240" w:after="80"/>
        <w:jc w:val="left"/>
      </w:pPr>
      <w:r>
        <w:rPr>
          <w:b/>
          <w:color w:val="00878A"/>
          <w:sz w:val="26"/>
        </w:rPr>
        <w:t>5.2 ESG in Procurement</w:t>
      </w:r>
    </w:p>
    <w:p>
      <w:pPr>
        <w:spacing w:after="120"/>
      </w:pPr>
      <w:r>
        <w:rPr>
          <w:color w:val="1A1A2E"/>
          <w:sz w:val="21"/>
        </w:rPr>
        <w:t>Effective FY2026, all Tier 1 and Tier 2 suppliers to Zava Agribusiness and Zava Chemicals must demonstrate compliance with:</w:t>
      </w:r>
    </w:p>
    <w:p>
      <w:pPr>
        <w:pStyle w:val="ListBullet"/>
        <w:spacing w:after="60"/>
        <w:ind w:left="360"/>
      </w:pPr>
      <w:r>
        <w:rPr>
          <w:color w:val="1A1A2E"/>
          <w:sz w:val="21"/>
        </w:rPr>
        <w:t>NDPE (No Deforestation, No Peat, No Exploitation) policy for palm-based inputs</w:t>
      </w:r>
    </w:p>
    <w:p>
      <w:pPr>
        <w:pStyle w:val="ListBullet"/>
        <w:spacing w:after="60"/>
        <w:ind w:left="360"/>
      </w:pPr>
      <w:r>
        <w:rPr>
          <w:color w:val="1A1A2E"/>
          <w:sz w:val="21"/>
        </w:rPr>
        <w:t>EU Deforestation Regulation (EUDR) — geolocation data submission required for all palm oil, timber, and natural rubber suppliers</w:t>
      </w:r>
    </w:p>
    <w:p>
      <w:pPr>
        <w:pStyle w:val="ListBullet"/>
        <w:spacing w:after="60"/>
        <w:ind w:left="360"/>
      </w:pPr>
      <w:r>
        <w:rPr>
          <w:color w:val="1A1A2E"/>
          <w:sz w:val="21"/>
        </w:rPr>
        <w:t>RSPO Supply Chain Certification (SCC) for all CPO and downstream palm product buyers</w:t>
      </w:r>
    </w:p>
    <w:p>
      <w:pPr>
        <w:pStyle w:val="ListBullet"/>
        <w:spacing w:after="60"/>
        <w:ind w:left="360"/>
      </w:pPr>
      <w:r>
        <w:rPr>
          <w:color w:val="1A1A2E"/>
          <w:sz w:val="21"/>
        </w:rPr>
        <w:t>No use of child or forced labour — verified by third-party audit every 2 years</w:t>
      </w:r>
    </w:p>
    <w:p>
      <w:r>
        <w:br w:type="page"/>
      </w:r>
    </w:p>
    <w:p>
      <w:pPr>
        <w:spacing w:before="360" w:after="120"/>
        <w:jc w:val="left"/>
        <w:pBdr>
          <w:bottom w:val="single" w:sz="6" w:space="1" w:color="1F2D55"/>
        </w:pBdr>
      </w:pPr>
      <w:r>
        <w:rPr>
          <w:b/>
          <w:color w:val="1F2D55"/>
          <w:sz w:val="32"/>
        </w:rPr>
        <w:t>Section 6: Data Privacy &amp; Cybersecurity Policy</w:t>
      </w:r>
    </w:p>
    <w:p>
      <w:pPr>
        <w:spacing w:after="120"/>
      </w:pPr>
      <w:r>
        <w:rPr>
          <w:color w:val="1A1A2E"/>
          <w:sz w:val="21"/>
        </w:rPr>
        <w:t>The Group complies with the Personal Data Protection Act 2010 (PDPA Malaysia), Undang-Undang Perlindungan Data Pribadi (UU PDP No. 27/2022, Indonesia), and other applicable privacy laws. All personal data processed by the Group is subject to this policy.</w:t>
      </w:r>
    </w:p>
    <w:p>
      <w:pPr>
        <w:spacing w:before="240" w:after="80"/>
        <w:jc w:val="left"/>
      </w:pPr>
      <w:r>
        <w:rPr>
          <w:b/>
          <w:color w:val="00878A"/>
          <w:sz w:val="26"/>
        </w:rPr>
        <w:t>6.1 Data Classification</w:t>
      </w:r>
    </w:p>
    <w:p>
      <w:pPr>
        <w:pStyle w:val="ListBullet"/>
        <w:spacing w:after="60"/>
        <w:ind w:left="360"/>
      </w:pPr>
      <w:r>
        <w:rPr>
          <w:color w:val="1A1A2E"/>
          <w:sz w:val="21"/>
        </w:rPr>
        <w:t>Restricted: Customer financial data, employee salary and health data, M&amp;A information, Board papers — access on need-to-know basis only</w:t>
      </w:r>
    </w:p>
    <w:p>
      <w:pPr>
        <w:pStyle w:val="ListBullet"/>
        <w:spacing w:after="60"/>
        <w:ind w:left="360"/>
      </w:pPr>
      <w:r>
        <w:rPr>
          <w:color w:val="1A1A2E"/>
          <w:sz w:val="21"/>
        </w:rPr>
        <w:t>Confidential: Internal financial reports, strategic plans, vendor contracts — for internal use</w:t>
      </w:r>
    </w:p>
    <w:p>
      <w:pPr>
        <w:pStyle w:val="ListBullet"/>
        <w:spacing w:after="60"/>
        <w:ind w:left="360"/>
      </w:pPr>
      <w:r>
        <w:rPr>
          <w:color w:val="1A1A2E"/>
          <w:sz w:val="21"/>
        </w:rPr>
        <w:t>Internal: Operational procedures, training materials, general policies</w:t>
      </w:r>
    </w:p>
    <w:p>
      <w:pPr>
        <w:pStyle w:val="ListBullet"/>
        <w:spacing w:after="60"/>
        <w:ind w:left="360"/>
      </w:pPr>
      <w:r>
        <w:rPr>
          <w:color w:val="1A1A2E"/>
          <w:sz w:val="21"/>
        </w:rPr>
        <w:t>Public: Marketing materials, annual reports, press releases</w:t>
      </w:r>
    </w:p>
    <w:p>
      <w:pPr>
        <w:spacing w:before="240" w:after="80"/>
        <w:jc w:val="left"/>
      </w:pPr>
      <w:r>
        <w:rPr>
          <w:b/>
          <w:color w:val="00878A"/>
          <w:sz w:val="26"/>
        </w:rPr>
        <w:t>6.2 Cybersecurity Standards</w:t>
      </w:r>
    </w:p>
    <w:p>
      <w:pPr>
        <w:spacing w:after="120"/>
      </w:pPr>
      <w:r>
        <w:rPr>
          <w:color w:val="1A1A2E"/>
          <w:sz w:val="21"/>
        </w:rPr>
        <w:t>The Group's Information Security Management System is aligned to ISO/IEC 27001:2022. Mandatory controls include:</w:t>
      </w:r>
    </w:p>
    <w:p>
      <w:pPr>
        <w:pStyle w:val="ListBullet"/>
        <w:spacing w:after="60"/>
        <w:ind w:left="360"/>
      </w:pPr>
      <w:r>
        <w:rPr>
          <w:color w:val="1A1A2E"/>
          <w:sz w:val="21"/>
        </w:rPr>
        <w:t>Multi-Factor Authentication (MFA) for all corporate systems and cloud services</w:t>
      </w:r>
    </w:p>
    <w:p>
      <w:pPr>
        <w:pStyle w:val="ListBullet"/>
        <w:spacing w:after="60"/>
        <w:ind w:left="360"/>
      </w:pPr>
      <w:r>
        <w:rPr>
          <w:color w:val="1A1A2E"/>
          <w:sz w:val="21"/>
        </w:rPr>
        <w:t>Microsoft Defender for Endpoint deployed on all corporate devices</w:t>
      </w:r>
    </w:p>
    <w:p>
      <w:pPr>
        <w:pStyle w:val="ListBullet"/>
        <w:spacing w:after="60"/>
        <w:ind w:left="360"/>
      </w:pPr>
      <w:r>
        <w:rPr>
          <w:color w:val="1A1A2E"/>
          <w:sz w:val="21"/>
        </w:rPr>
        <w:t>Zero Trust Architecture principles applied to network access</w:t>
      </w:r>
    </w:p>
    <w:p>
      <w:pPr>
        <w:pStyle w:val="ListBullet"/>
        <w:spacing w:after="60"/>
        <w:ind w:left="360"/>
      </w:pPr>
      <w:r>
        <w:rPr>
          <w:color w:val="1A1A2E"/>
          <w:sz w:val="21"/>
        </w:rPr>
        <w:t>Annual penetration testing by accredited third-party firm</w:t>
      </w:r>
    </w:p>
    <w:p>
      <w:pPr>
        <w:pStyle w:val="ListBullet"/>
        <w:spacing w:after="60"/>
        <w:ind w:left="360"/>
      </w:pPr>
      <w:r>
        <w:rPr>
          <w:color w:val="1A1A2E"/>
          <w:sz w:val="21"/>
        </w:rPr>
        <w:t>Mandatory cybersecurity awareness training for all staff</w:t>
      </w:r>
    </w:p>
    <w:p>
      <w:pPr>
        <w:pStyle w:val="ListBullet"/>
        <w:spacing w:after="60"/>
        <w:ind w:left="360"/>
      </w:pPr>
      <w:r>
        <w:rPr>
          <w:color w:val="1A1A2E"/>
          <w:sz w:val="21"/>
        </w:rPr>
        <w:t>AI tool usage policy: All M365 Copilot usage is governed by Microsoft's commercial data protection commitments. Employees must not input Restricted data into external AI tools not approved by Group IT.</w:t>
      </w:r>
    </w:p>
    <w:p>
      <w:pPr>
        <w:spacing w:before="120" w:after="120"/>
        <w:ind w:left="432" w:right="432"/>
        <w:shd w:val="clear" w:color="auto" w:fill="EEF2FF"/>
      </w:pPr>
      <w:r>
        <w:rPr>
          <w:b/>
          <w:color w:val="1F2D55"/>
          <w:sz w:val="21"/>
        </w:rPr>
        <w:t xml:space="preserve">Copilot AI Policy: </w:t>
      </w:r>
      <w:r>
        <w:rPr>
          <w:color w:val="1A1A2E"/>
          <w:sz w:val="21"/>
        </w:rPr>
        <w:t>Microsoft 365 Copilot is an approved AI productivity tool for all licensed employees. Prompts and responses processed within M365 Copilot are not used to train foundation models and remain within the Group's Microsoft 365 tenant boundary, subject to the Microsoft Product Terms and Data Protection Addendum.</w:t>
      </w:r>
    </w:p>
    <w:p>
      <w:r>
        <w:br w:type="page"/>
      </w:r>
    </w:p>
    <w:p>
      <w:pPr>
        <w:spacing w:before="360" w:after="120"/>
        <w:jc w:val="left"/>
        <w:pBdr>
          <w:bottom w:val="single" w:sz="6" w:space="1" w:color="1F2D55"/>
        </w:pBdr>
      </w:pPr>
      <w:r>
        <w:rPr>
          <w:b/>
          <w:color w:val="1F2D55"/>
          <w:sz w:val="32"/>
        </w:rPr>
        <w:t>Section 7: ESG &amp; Sustainability Policy</w:t>
      </w:r>
    </w:p>
    <w:p>
      <w:pPr>
        <w:spacing w:after="120"/>
      </w:pPr>
      <w:r>
        <w:rPr>
          <w:color w:val="1A1A2E"/>
          <w:sz w:val="21"/>
        </w:rPr>
        <w:t>The Group's sustainability strategy is governed by the Zava Sustainability Framework 2025–2030, aligned to the United Nations Sustainable Development Goals (SDGs), Global Reporting Initiative (GRI) Standards, TCFD recommendations, and Bursa Malaysia Sustainability Reporting Guide (3rd Edition).</w:t>
      </w:r>
    </w:p>
    <w:p>
      <w:pPr>
        <w:spacing w:before="240" w:after="80"/>
        <w:jc w:val="left"/>
      </w:pPr>
      <w:r>
        <w:rPr>
          <w:b/>
          <w:color w:val="00878A"/>
          <w:sz w:val="26"/>
        </w:rPr>
        <w:t>7.1 Environmental Commitments</w:t>
      </w:r>
    </w:p>
    <w:p>
      <w:pPr>
        <w:pStyle w:val="ListBullet"/>
        <w:spacing w:after="60"/>
        <w:ind w:left="360"/>
      </w:pPr>
      <w:r>
        <w:rPr>
          <w:color w:val="1A1A2E"/>
          <w:sz w:val="21"/>
        </w:rPr>
        <w:t>Net Zero Scope 1 &amp; 2 emissions by 2050; 45% reduction vs. FY2020 baseline by 2030</w:t>
      </w:r>
    </w:p>
    <w:p>
      <w:pPr>
        <w:pStyle w:val="ListBullet"/>
        <w:spacing w:after="60"/>
        <w:ind w:left="360"/>
      </w:pPr>
      <w:r>
        <w:rPr>
          <w:color w:val="1A1A2E"/>
          <w:sz w:val="21"/>
        </w:rPr>
        <w:t>No Net Deforestation — zero tolerance for clearing of primary forest or High Conservation Value (HCV) areas</w:t>
      </w:r>
    </w:p>
    <w:p>
      <w:pPr>
        <w:pStyle w:val="ListBullet"/>
        <w:spacing w:after="60"/>
        <w:ind w:left="360"/>
      </w:pPr>
      <w:r>
        <w:rPr>
          <w:color w:val="1A1A2E"/>
          <w:sz w:val="21"/>
        </w:rPr>
        <w:t>Peatland: No new development on peatlands; existing peatland operations (Perkebunan Lestari, East Kalimantan) under remediation plan per RSPO NI 2018</w:t>
      </w:r>
    </w:p>
    <w:p>
      <w:pPr>
        <w:pStyle w:val="ListBullet"/>
        <w:spacing w:after="60"/>
        <w:ind w:left="360"/>
      </w:pPr>
      <w:r>
        <w:rPr>
          <w:color w:val="1A1A2E"/>
          <w:sz w:val="21"/>
        </w:rPr>
        <w:t>EUDR Compliance: Full geolocation and deforestation-free verification for all relevant commodities by 30 December 2025</w:t>
      </w:r>
    </w:p>
    <w:p>
      <w:pPr>
        <w:pStyle w:val="ListBullet"/>
        <w:spacing w:after="60"/>
        <w:ind w:left="360"/>
      </w:pPr>
      <w:r>
        <w:rPr>
          <w:color w:val="1A1A2E"/>
          <w:sz w:val="21"/>
        </w:rPr>
        <w:t>Water stewardship: Reduce freshwater intensity by 30% by FY2030 vs. FY2022 baseline</w:t>
      </w:r>
    </w:p>
    <w:p>
      <w:pPr>
        <w:pStyle w:val="ListBullet"/>
        <w:spacing w:after="60"/>
        <w:ind w:left="360"/>
      </w:pPr>
      <w:r>
        <w:rPr>
          <w:color w:val="1A1A2E"/>
          <w:sz w:val="21"/>
        </w:rPr>
        <w:t>Circular economy: Zero waste to landfill for all manufacturing operations by FY2028</w:t>
      </w:r>
    </w:p>
    <w:p>
      <w:pPr>
        <w:spacing w:before="240" w:after="80"/>
        <w:jc w:val="left"/>
      </w:pPr>
      <w:r>
        <w:rPr>
          <w:b/>
          <w:color w:val="00878A"/>
          <w:sz w:val="26"/>
        </w:rPr>
        <w:t>7.2 Social Commitments</w:t>
      </w:r>
    </w:p>
    <w:p>
      <w:pPr>
        <w:pStyle w:val="ListBullet"/>
        <w:spacing w:after="60"/>
        <w:ind w:left="360"/>
      </w:pPr>
      <w:r>
        <w:rPr>
          <w:color w:val="1A1A2E"/>
          <w:sz w:val="21"/>
        </w:rPr>
        <w:t>Community Investment: Minimum MYR 80M annually across Zava Foundation programmes</w:t>
      </w:r>
    </w:p>
    <w:p>
      <w:pPr>
        <w:pStyle w:val="ListBullet"/>
        <w:spacing w:after="60"/>
        <w:ind w:left="360"/>
      </w:pPr>
      <w:r>
        <w:rPr>
          <w:color w:val="1A1A2E"/>
          <w:sz w:val="21"/>
        </w:rPr>
        <w:t>Living wage: All direct employees earn above national minimum wage + 15% premium</w:t>
      </w:r>
    </w:p>
    <w:p>
      <w:pPr>
        <w:pStyle w:val="ListBullet"/>
        <w:spacing w:after="60"/>
        <w:ind w:left="360"/>
      </w:pPr>
      <w:r>
        <w:rPr>
          <w:color w:val="1A1A2E"/>
          <w:sz w:val="21"/>
        </w:rPr>
        <w:t>Worker housing: All plantation workers housed in Grade A or Grade B facilities per RSPO P&amp;C 2018 Criterion 4.5</w:t>
      </w:r>
    </w:p>
    <w:p>
      <w:pPr>
        <w:pStyle w:val="ListBullet"/>
        <w:spacing w:after="60"/>
        <w:ind w:left="360"/>
      </w:pPr>
      <w:r>
        <w:rPr>
          <w:color w:val="1A1A2E"/>
          <w:sz w:val="21"/>
        </w:rPr>
        <w:t>No child labour (under 18) in any Zava Group operations or supply chain</w:t>
      </w:r>
    </w:p>
    <w:p>
      <w:pPr>
        <w:pStyle w:val="ListBullet"/>
        <w:spacing w:after="60"/>
        <w:ind w:left="360"/>
      </w:pPr>
      <w:r>
        <w:rPr>
          <w:color w:val="1A1A2E"/>
          <w:sz w:val="21"/>
        </w:rPr>
        <w:t>Women in leadership: 40% by FY2028</w:t>
      </w:r>
    </w:p>
    <w:p>
      <w:r>
        <w:br w:type="page"/>
      </w:r>
    </w:p>
    <w:p>
      <w:pPr>
        <w:spacing w:before="360" w:after="120"/>
        <w:jc w:val="left"/>
        <w:pBdr>
          <w:bottom w:val="single" w:sz="6" w:space="1" w:color="1F2D55"/>
        </w:pBdr>
      </w:pPr>
      <w:r>
        <w:rPr>
          <w:b/>
          <w:color w:val="1F2D55"/>
          <w:sz w:val="32"/>
        </w:rPr>
        <w:t>Section 8: Health, Safety &amp; Environment Policy</w:t>
      </w:r>
    </w:p>
    <w:p>
      <w:pPr>
        <w:spacing w:after="120"/>
      </w:pPr>
      <w:r>
        <w:rPr>
          <w:color w:val="1A1A2E"/>
          <w:sz w:val="21"/>
        </w:rPr>
        <w:t>The Group is committed to providing a safe and healthy working environment for all employees, contractors, and visitors. The Zava HSE Management System is certified to ISO 45001:2018 for Chemicals and Manufacturing divisions. Process Safety Management (PSM) standards apply to Zava Chemicals plants.</w:t>
      </w:r>
    </w:p>
    <w:p>
      <w:pPr>
        <w:spacing w:before="240" w:after="80"/>
        <w:jc w:val="left"/>
      </w:pPr>
      <w:r>
        <w:rPr>
          <w:b/>
          <w:color w:val="00878A"/>
          <w:sz w:val="26"/>
        </w:rPr>
        <w:t>8.1 Key HSE KPIs &amp; Targets</w:t>
      </w:r>
    </w:p>
    <w:p>
      <w:pPr>
        <w:pStyle w:val="ListBullet"/>
        <w:spacing w:after="60"/>
        <w:ind w:left="360"/>
      </w:pPr>
      <w:r>
        <w:rPr>
          <w:color w:val="1A1A2E"/>
          <w:sz w:val="21"/>
        </w:rPr>
        <w:t>Total Recordable Incident Rate (TRIR): Group target &lt; 0.80 per 200,000 man-hours (FY2024 actual: 1.12 — above target due to Cilegon incidents)</w:t>
      </w:r>
    </w:p>
    <w:p>
      <w:pPr>
        <w:pStyle w:val="ListBullet"/>
        <w:spacing w:after="60"/>
        <w:ind w:left="360"/>
      </w:pPr>
      <w:r>
        <w:rPr>
          <w:color w:val="1A1A2E"/>
          <w:sz w:val="21"/>
        </w:rPr>
        <w:t>Lost Time Injury Rate (LTIR): Group target &lt; 0.20 (FY2024 actual: 0.31)</w:t>
      </w:r>
    </w:p>
    <w:p>
      <w:pPr>
        <w:pStyle w:val="ListBullet"/>
        <w:spacing w:after="60"/>
        <w:ind w:left="360"/>
      </w:pPr>
      <w:r>
        <w:rPr>
          <w:color w:val="1A1A2E"/>
          <w:sz w:val="21"/>
        </w:rPr>
        <w:t>Zero fatalities — Group-wide absolute commitment</w:t>
      </w:r>
    </w:p>
    <w:p>
      <w:pPr>
        <w:pStyle w:val="ListBullet"/>
        <w:spacing w:after="60"/>
        <w:ind w:left="360"/>
      </w:pPr>
      <w:r>
        <w:rPr>
          <w:color w:val="1A1A2E"/>
          <w:sz w:val="21"/>
        </w:rPr>
        <w:t>Near Miss Reporting: Minimum 4 near miss reports per employee per year — leading indicator</w:t>
      </w:r>
    </w:p>
    <w:p>
      <w:pPr>
        <w:pStyle w:val="ListBullet"/>
        <w:spacing w:after="60"/>
        <w:ind w:left="360"/>
      </w:pPr>
      <w:r>
        <w:rPr>
          <w:color w:val="1A1A2E"/>
          <w:sz w:val="21"/>
        </w:rPr>
        <w:t>Safety Observation Cards (SOC): Minimum 500 per 1,000 employees per year</w:t>
      </w:r>
    </w:p>
    <w:p>
      <w:pPr>
        <w:spacing w:before="240" w:after="80"/>
        <w:jc w:val="left"/>
      </w:pPr>
      <w:r>
        <w:rPr>
          <w:b/>
          <w:color w:val="00878A"/>
          <w:sz w:val="26"/>
        </w:rPr>
        <w:t>8.2 HIRARC Framework</w:t>
      </w:r>
    </w:p>
    <w:p>
      <w:pPr>
        <w:spacing w:after="120"/>
      </w:pPr>
      <w:r>
        <w:rPr>
          <w:color w:val="1A1A2E"/>
          <w:sz w:val="21"/>
        </w:rPr>
        <w:t>Hazard Identification, Risk Assessment &amp; Risk Control (HIRARC) is mandatory for all operational activities involving Significant Hazardous Activities (SHA) as defined under Malaysia's Occupational Safety and Health Act (OSHA 1994) and Indonesia's PP No. 50/2012 on SMK3. HIRARC reviews must be conducted:</w:t>
      </w:r>
    </w:p>
    <w:p>
      <w:pPr>
        <w:pStyle w:val="ListBullet"/>
        <w:spacing w:after="60"/>
        <w:ind w:left="360"/>
      </w:pPr>
      <w:r>
        <w:rPr>
          <w:color w:val="1A1A2E"/>
          <w:sz w:val="21"/>
        </w:rPr>
        <w:t>Before commencement of any new activity or process</w:t>
      </w:r>
    </w:p>
    <w:p>
      <w:pPr>
        <w:pStyle w:val="ListBullet"/>
        <w:spacing w:after="60"/>
        <w:ind w:left="360"/>
      </w:pPr>
      <w:r>
        <w:rPr>
          <w:color w:val="1A1A2E"/>
          <w:sz w:val="21"/>
        </w:rPr>
        <w:t>Following any incident with severity rating of Serious or above</w:t>
      </w:r>
    </w:p>
    <w:p>
      <w:pPr>
        <w:pStyle w:val="ListBullet"/>
        <w:spacing w:after="60"/>
        <w:ind w:left="360"/>
      </w:pPr>
      <w:r>
        <w:rPr>
          <w:color w:val="1A1A2E"/>
          <w:sz w:val="21"/>
        </w:rPr>
        <w:t>Every 3 years for routine operations, or following material changes to equipment or procedures</w:t>
      </w:r>
    </w:p>
    <w:p>
      <w:pPr>
        <w:pStyle w:val="ListBullet"/>
        <w:spacing w:after="60"/>
        <w:ind w:left="360"/>
      </w:pPr>
      <w:r>
        <w:rPr>
          <w:color w:val="1A1A2E"/>
          <w:sz w:val="21"/>
        </w:rPr>
        <w:t>Annually for all processes involving hazardous chemicals (Category 1 or 2 under GHS)</w:t>
      </w:r>
    </w:p>
    <w:p>
      <w:r>
        <w:br w:type="page"/>
      </w:r>
    </w:p>
    <w:p>
      <w:pPr>
        <w:spacing w:before="360" w:after="120"/>
        <w:jc w:val="left"/>
        <w:pBdr>
          <w:bottom w:val="single" w:sz="6" w:space="1" w:color="1F2D55"/>
        </w:pBdr>
      </w:pPr>
      <w:r>
        <w:rPr>
          <w:b/>
          <w:color w:val="1F2D55"/>
          <w:sz w:val="32"/>
        </w:rPr>
        <w:t>Section 9: Legal &amp; Compliance Framework</w:t>
      </w:r>
    </w:p>
    <w:p>
      <w:pPr>
        <w:spacing w:after="120"/>
      </w:pPr>
      <w:r>
        <w:rPr>
          <w:color w:val="1A1A2E"/>
          <w:sz w:val="21"/>
        </w:rPr>
        <w:t>The Group Legal &amp; Compliance function ('GLC') is responsible for legal risk management, regulatory compliance, corporate secretarial, and litigation management across all Group entities.</w:t>
      </w:r>
    </w:p>
    <w:p>
      <w:pPr>
        <w:spacing w:before="240" w:after="80"/>
        <w:jc w:val="left"/>
      </w:pPr>
      <w:r>
        <w:rPr>
          <w:b/>
          <w:color w:val="00878A"/>
          <w:sz w:val="26"/>
        </w:rPr>
        <w:t>9.1 Regulatory Compliance</w:t>
      </w:r>
    </w:p>
    <w:p>
      <w:pPr>
        <w:spacing w:after="120"/>
      </w:pPr>
      <w:r>
        <w:rPr>
          <w:color w:val="1A1A2E"/>
          <w:sz w:val="21"/>
        </w:rPr>
        <w:t>Key regulatory bodies and applicable frameworks:</w:t>
      </w:r>
    </w:p>
    <w:p>
      <w:pPr>
        <w:pStyle w:val="ListBullet"/>
        <w:spacing w:after="60"/>
        <w:ind w:left="360"/>
      </w:pPr>
      <w:r>
        <w:rPr>
          <w:color w:val="1A1A2E"/>
          <w:sz w:val="21"/>
        </w:rPr>
        <w:t>Malaysia: Bursa Malaysia Listing Requirements, Securities Commission Malaysia, Bank Negara Malaysia (BNM), MACC, LHDN (Inland Revenue Board), DOSH (OSHA enforcement)</w:t>
      </w:r>
    </w:p>
    <w:p>
      <w:pPr>
        <w:pStyle w:val="ListBullet"/>
        <w:spacing w:after="60"/>
        <w:ind w:left="360"/>
      </w:pPr>
      <w:r>
        <w:rPr>
          <w:color w:val="1A1A2E"/>
          <w:sz w:val="21"/>
        </w:rPr>
        <w:t>Indonesia: OJK (Financial Services Authority), IDX (Indonesia Stock Exchange), BPOM (Food &amp; Drug Authority), KLHK (Environment Ministry), Kemnaker (Labour Ministry), BPJAMSOSTEK</w:t>
      </w:r>
    </w:p>
    <w:p>
      <w:pPr>
        <w:pStyle w:val="ListBullet"/>
        <w:spacing w:after="60"/>
        <w:ind w:left="360"/>
      </w:pPr>
      <w:r>
        <w:rPr>
          <w:color w:val="1A1A2E"/>
          <w:sz w:val="21"/>
        </w:rPr>
        <w:t>Plantation: RSPO (Roundtable on Sustainable Palm Oil), ISPO (Indonesia Sustainable Palm Oil), MSPO (Malaysian Sustainable Palm Oil), EUDR</w:t>
      </w:r>
    </w:p>
    <w:p>
      <w:pPr>
        <w:pStyle w:val="ListBullet"/>
        <w:spacing w:after="60"/>
        <w:ind w:left="360"/>
      </w:pPr>
      <w:r>
        <w:rPr>
          <w:color w:val="1A1A2E"/>
          <w:sz w:val="21"/>
        </w:rPr>
        <w:t>Pharma: BPfK (National Pharmaceutical Regulatory Agency, Malaysia), BPOM (Indonesia), TGA (Australia — export only), EMA (EU — export only)</w:t>
      </w:r>
    </w:p>
    <w:p>
      <w:pPr>
        <w:pStyle w:val="ListBullet"/>
        <w:spacing w:after="60"/>
        <w:ind w:left="360"/>
      </w:pPr>
      <w:r>
        <w:rPr>
          <w:color w:val="1A1A2E"/>
          <w:sz w:val="21"/>
        </w:rPr>
        <w:t>Financial services: BNM BAFIA, IFSA, AMLATFPUAA; OJK Regulation No. 40/POJK.03/2019 (banking); BNM Net Stable Funding Ratio Framework</w:t>
      </w:r>
    </w:p>
    <w:p>
      <w:pPr>
        <w:spacing w:before="240" w:after="80"/>
        <w:jc w:val="left"/>
      </w:pPr>
      <w:r>
        <w:rPr>
          <w:b/>
          <w:color w:val="00878A"/>
          <w:sz w:val="26"/>
        </w:rPr>
        <w:t>9.2 Sanctions &amp; AML Policy</w:t>
      </w:r>
    </w:p>
    <w:p>
      <w:pPr>
        <w:spacing w:before="120" w:after="120"/>
        <w:ind w:left="432" w:right="432"/>
        <w:shd w:val="clear" w:color="auto" w:fill="EEF2FF"/>
      </w:pPr>
      <w:r>
        <w:rPr>
          <w:b/>
          <w:color w:val="1F2D55"/>
          <w:sz w:val="21"/>
        </w:rPr>
        <w:t xml:space="preserve">AML/CFT Commitment: </w:t>
      </w:r>
      <w:r>
        <w:rPr>
          <w:color w:val="1A1A2E"/>
          <w:sz w:val="21"/>
        </w:rPr>
        <w:t>Zava Bank Bhd operates a comprehensive Anti-Money Laundering and Counter Financing of Terrorism (AML/CFT) framework in full compliance with the Anti-Money Laundering, Anti-Terrorism Financing and Proceeds of Unlawful Activities Act 2001 (AMLATFPUAA). Suspicious Transaction Reports (STRs) are filed with the Financial Intelligence and Enforcement Department (FIED), Bank Negara Malaysia within the prescribed timeframe.</w:t>
      </w:r>
    </w:p>
    <w:p>
      <w:pPr>
        <w:spacing w:after="120"/>
      </w:pPr>
      <w:r>
        <w:rPr>
          <w:color w:val="1A1A2E"/>
          <w:sz w:val="21"/>
        </w:rPr>
        <w:t>All Group entities must screen transactions and counterparties against:</w:t>
      </w:r>
    </w:p>
    <w:p>
      <w:pPr>
        <w:pStyle w:val="ListBullet"/>
        <w:spacing w:after="60"/>
        <w:ind w:left="360"/>
      </w:pPr>
      <w:r>
        <w:rPr>
          <w:color w:val="1A1A2E"/>
          <w:sz w:val="21"/>
        </w:rPr>
        <w:t>OFAC SDN List (United States)</w:t>
      </w:r>
    </w:p>
    <w:p>
      <w:pPr>
        <w:pStyle w:val="ListBullet"/>
        <w:spacing w:after="60"/>
        <w:ind w:left="360"/>
      </w:pPr>
      <w:r>
        <w:rPr>
          <w:color w:val="1A1A2E"/>
          <w:sz w:val="21"/>
        </w:rPr>
        <w:t>UN Security Council Consolidated List</w:t>
      </w:r>
    </w:p>
    <w:p>
      <w:pPr>
        <w:pStyle w:val="ListBullet"/>
        <w:spacing w:after="60"/>
        <w:ind w:left="360"/>
      </w:pPr>
      <w:r>
        <w:rPr>
          <w:color w:val="1A1A2E"/>
          <w:sz w:val="21"/>
        </w:rPr>
        <w:t>EU Consolidated Financial Sanctions List</w:t>
      </w:r>
    </w:p>
    <w:p>
      <w:pPr>
        <w:pStyle w:val="ListBullet"/>
        <w:spacing w:after="60"/>
        <w:ind w:left="360"/>
      </w:pPr>
      <w:r>
        <w:rPr>
          <w:color w:val="1A1A2E"/>
          <w:sz w:val="21"/>
        </w:rPr>
        <w:t>BNM Terrorism Financing List (Malaysia)</w:t>
      </w:r>
    </w:p>
    <w:p>
      <w:pPr>
        <w:pStyle w:val="ListBullet"/>
        <w:spacing w:after="60"/>
        <w:ind w:left="360"/>
      </w:pPr>
      <w:r>
        <w:rPr>
          <w:color w:val="1A1A2E"/>
          <w:sz w:val="21"/>
        </w:rPr>
        <w:t>OJK/PPATK watchlist (Indonesia)</w:t>
      </w:r>
    </w:p>
    <w:p>
      <w:pPr>
        <w:pStyle w:val="ListBullet"/>
        <w:spacing w:after="60"/>
        <w:ind w:left="360"/>
      </w:pPr>
      <w:r>
        <w:rPr>
          <w:color w:val="1A1A2E"/>
          <w:sz w:val="21"/>
        </w:rPr>
        <w:t>Dow Jones Risk &amp; Compliance — third-party screening for onboarding</w:t>
      </w:r>
    </w:p>
    <w:p>
      <w:pPr>
        <w:spacing w:before="240" w:after="80"/>
        <w:jc w:val="left"/>
      </w:pPr>
      <w:r>
        <w:rPr>
          <w:b/>
          <w:color w:val="00878A"/>
          <w:sz w:val="26"/>
        </w:rPr>
        <w:t>9.3 Competition Law</w:t>
      </w:r>
    </w:p>
    <w:p>
      <w:pPr>
        <w:spacing w:after="120"/>
      </w:pPr>
      <w:r>
        <w:rPr>
          <w:color w:val="1A1A2E"/>
          <w:sz w:val="21"/>
        </w:rPr>
        <w:t>The Group complies with the Malaysian Competition Act 2010 and Indonesia's Anti-Monopoly Law (Law No. 5/1999). Employees must not engage in price-fixing, market allocation, bid-rigging, or exchange of competitively sensitive information with competitors. Competition law training is mandatory for all employees in commercial, procurement, and strategy roles.</w:t>
      </w:r>
    </w:p>
    <w:p>
      <w:r>
        <w:br w:type="page"/>
      </w:r>
    </w:p>
    <w:p>
      <w:pPr>
        <w:spacing w:before="360" w:after="120"/>
        <w:jc w:val="left"/>
        <w:pBdr>
          <w:bottom w:val="single" w:sz="6" w:space="1" w:color="1F2D55"/>
        </w:pBdr>
      </w:pPr>
      <w:r>
        <w:rPr>
          <w:b/>
          <w:color w:val="1F2D55"/>
          <w:sz w:val="32"/>
        </w:rPr>
        <w:t>Section 10: Enterprise Risk Management Framework</w:t>
      </w:r>
    </w:p>
    <w:p>
      <w:pPr>
        <w:spacing w:after="120"/>
      </w:pPr>
      <w:r>
        <w:rPr>
          <w:color w:val="1A1A2E"/>
          <w:sz w:val="21"/>
        </w:rPr>
        <w:t>The Zava Group Enterprise Risk Management (ERM) Framework is based on ISO 31000:2018 and COSO ERM 2017. The Group Risk Management Committee (RMC) oversees all material risk exposures and the effectiveness of risk controls.</w:t>
      </w:r>
    </w:p>
    <w:p>
      <w:pPr>
        <w:spacing w:before="240" w:after="80"/>
        <w:jc w:val="left"/>
      </w:pPr>
      <w:r>
        <w:rPr>
          <w:b/>
          <w:color w:val="00878A"/>
          <w:sz w:val="26"/>
        </w:rPr>
        <w:t>10.1 Risk Categories</w:t>
      </w:r>
    </w:p>
    <w:p>
      <w:pPr>
        <w:pStyle w:val="ListBullet"/>
        <w:spacing w:after="60"/>
        <w:ind w:left="360"/>
      </w:pPr>
      <w:r>
        <w:rPr>
          <w:color w:val="1A1A2E"/>
          <w:sz w:val="21"/>
        </w:rPr>
        <w:t>Strategic Risk: M&amp;A integration failure, geopolitical disruption, disruptive technology, commodity price volatility</w:t>
      </w:r>
    </w:p>
    <w:p>
      <w:pPr>
        <w:pStyle w:val="ListBullet"/>
        <w:spacing w:after="60"/>
        <w:ind w:left="360"/>
      </w:pPr>
      <w:r>
        <w:rPr>
          <w:color w:val="1A1A2E"/>
          <w:sz w:val="21"/>
        </w:rPr>
        <w:t>Financial Risk: Credit risk (NPL), liquidity risk, capital adequacy, FOREX, interest rate risk</w:t>
      </w:r>
    </w:p>
    <w:p>
      <w:pPr>
        <w:pStyle w:val="ListBullet"/>
        <w:spacing w:after="60"/>
        <w:ind w:left="360"/>
      </w:pPr>
      <w:r>
        <w:rPr>
          <w:color w:val="1A1A2E"/>
          <w:sz w:val="21"/>
        </w:rPr>
        <w:t>Operational Risk: Plant safety incidents (Cilegon), supply chain disruption (PKO feedstock), IT/cyber incidents, talent attrition</w:t>
      </w:r>
    </w:p>
    <w:p>
      <w:pPr>
        <w:pStyle w:val="ListBullet"/>
        <w:spacing w:after="60"/>
        <w:ind w:left="360"/>
      </w:pPr>
      <w:r>
        <w:rPr>
          <w:color w:val="1A1A2E"/>
          <w:sz w:val="21"/>
        </w:rPr>
        <w:t>Regulatory &amp; Compliance Risk: Licensing breaches (RSPO suspension), regulatory fines (BNM NPL), sanctions exposure</w:t>
      </w:r>
    </w:p>
    <w:p>
      <w:pPr>
        <w:pStyle w:val="ListBullet"/>
        <w:spacing w:after="60"/>
        <w:ind w:left="360"/>
      </w:pPr>
      <w:r>
        <w:rPr>
          <w:color w:val="1A1A2E"/>
          <w:sz w:val="21"/>
        </w:rPr>
        <w:t>ESG &amp; Reputational Risk: EUDR non-compliance, peatland controversy, supply chain human rights</w:t>
      </w:r>
    </w:p>
    <w:p>
      <w:pPr>
        <w:pStyle w:val="ListBullet"/>
        <w:spacing w:after="60"/>
        <w:ind w:left="360"/>
      </w:pPr>
      <w:r>
        <w:rPr>
          <w:color w:val="1A1A2E"/>
          <w:sz w:val="21"/>
        </w:rPr>
        <w:t>Climate Risk (TCFD): Physical risks (flooding at plantation estates, Johor Iskandar), transition risks (carbon pricing, EUDR)</w:t>
      </w:r>
    </w:p>
    <w:p>
      <w:pPr>
        <w:spacing w:before="240" w:after="80"/>
        <w:jc w:val="left"/>
      </w:pPr>
      <w:r>
        <w:rPr>
          <w:b/>
          <w:color w:val="00878A"/>
          <w:sz w:val="26"/>
        </w:rPr>
        <w:t>10.2 Risk Appetite</w:t>
      </w:r>
    </w:p>
    <w:p>
      <w:pPr>
        <w:spacing w:after="120"/>
      </w:pPr>
      <w:r>
        <w:rPr>
          <w:color w:val="1A1A2E"/>
          <w:sz w:val="21"/>
        </w:rPr>
        <w:t>The Board approves the Group Risk Appetite Statement (RAS) annually. Key thresholds:</w:t>
      </w:r>
    </w:p>
    <w:p>
      <w:pPr>
        <w:pStyle w:val="ListBullet"/>
        <w:spacing w:after="60"/>
        <w:ind w:left="360"/>
      </w:pPr>
      <w:r>
        <w:rPr>
          <w:color w:val="1A1A2E"/>
          <w:sz w:val="21"/>
        </w:rPr>
        <w:t>Maximum tolerable TRIR: 1.50 (triggers RMC review if exceeded for 2 consecutive quarters)</w:t>
      </w:r>
    </w:p>
    <w:p>
      <w:pPr>
        <w:pStyle w:val="ListBullet"/>
        <w:spacing w:after="60"/>
        <w:ind w:left="360"/>
      </w:pPr>
      <w:r>
        <w:rPr>
          <w:color w:val="1A1A2E"/>
          <w:sz w:val="21"/>
        </w:rPr>
        <w:t>Maximum Net Gearing: 1.2x (FY2024: 0.82x — approaching comfort threshold due to M&amp;A pipeline)</w:t>
      </w:r>
    </w:p>
    <w:p>
      <w:pPr>
        <w:pStyle w:val="ListBullet"/>
        <w:spacing w:after="60"/>
        <w:ind w:left="360"/>
      </w:pPr>
      <w:r>
        <w:rPr>
          <w:color w:val="1A1A2E"/>
          <w:sz w:val="21"/>
        </w:rPr>
        <w:t>NPL ratio for Zava Bank: Not to exceed 3.5% BNM threshold in any segment (Retail Personal Loans currently at 21.7% — active remediation plan)</w:t>
      </w:r>
    </w:p>
    <w:p>
      <w:pPr>
        <w:pStyle w:val="ListBullet"/>
        <w:spacing w:after="60"/>
        <w:ind w:left="360"/>
      </w:pPr>
      <w:r>
        <w:rPr>
          <w:color w:val="1A1A2E"/>
          <w:sz w:val="21"/>
        </w:rPr>
        <w:t>RSPO certification: 100% of plantation estates to be certified or in active certification process by FY2026</w:t>
      </w:r>
    </w:p>
    <w:p>
      <w:pPr>
        <w:pStyle w:val="ListBullet"/>
        <w:spacing w:after="60"/>
        <w:ind w:left="360"/>
      </w:pPr>
      <w:r>
        <w:rPr>
          <w:color w:val="1A1A2E"/>
          <w:sz w:val="21"/>
        </w:rPr>
        <w:t>Zero tolerance: Bribery, child labour, fatalities, sanctions breaches</w:t>
      </w:r>
    </w:p>
    <w:p>
      <w:pPr>
        <w:spacing w:before="240" w:after="80"/>
        <w:jc w:val="left"/>
      </w:pPr>
      <w:r>
        <w:rPr>
          <w:b/>
          <w:color w:val="00878A"/>
          <w:sz w:val="26"/>
        </w:rPr>
        <w:t>10.3 Risk Reporting Cycle</w:t>
      </w:r>
    </w:p>
    <w:p>
      <w:pPr>
        <w:pStyle w:val="ListBullet"/>
        <w:spacing w:after="60"/>
        <w:ind w:left="360"/>
      </w:pPr>
      <w:r>
        <w:rPr>
          <w:color w:val="1A1A2E"/>
          <w:sz w:val="21"/>
        </w:rPr>
        <w:t>Monthly: Divisional Risk Officers submit risk registers to Group Risk; key indicators monitored by Group CRO</w:t>
      </w:r>
    </w:p>
    <w:p>
      <w:pPr>
        <w:pStyle w:val="ListBullet"/>
        <w:spacing w:after="60"/>
        <w:ind w:left="360"/>
      </w:pPr>
      <w:r>
        <w:rPr>
          <w:color w:val="1A1A2E"/>
          <w:sz w:val="21"/>
        </w:rPr>
        <w:t>Quarterly: RMC reviews top 15 Group risks; escalates material risks to Board</w:t>
      </w:r>
    </w:p>
    <w:p>
      <w:pPr>
        <w:pStyle w:val="ListBullet"/>
        <w:spacing w:after="60"/>
        <w:ind w:left="360"/>
      </w:pPr>
      <w:r>
        <w:rPr>
          <w:color w:val="1A1A2E"/>
          <w:sz w:val="21"/>
        </w:rPr>
        <w:t>Semi-annually: Full ERM report to Board, including stress testing results and emerging risks</w:t>
      </w:r>
    </w:p>
    <w:p>
      <w:pPr>
        <w:pStyle w:val="ListBullet"/>
        <w:spacing w:after="60"/>
        <w:ind w:left="360"/>
      </w:pPr>
      <w:r>
        <w:rPr>
          <w:color w:val="1A1A2E"/>
          <w:sz w:val="21"/>
        </w:rPr>
        <w:t>Annually: External risk validation by Deloitte; risk appetite review and refresh</w:t>
      </w:r>
    </w:p>
    <w:p/>
    <w:p>
      <w:pPr>
        <w:spacing w:after="120"/>
      </w:pPr>
      <w:r>
        <w:rPr>
          <w:color w:val="1A1A2E"/>
          <w:sz w:val="21"/>
        </w:rPr>
        <w:t>────────────────────────────────────────────────────────────</w:t>
      </w:r>
    </w:p>
    <w:p>
      <w:pPr>
        <w:jc w:val="center"/>
      </w:pPr>
      <w:r>
        <w:rPr>
          <w:color w:val="6B7280"/>
          <w:sz w:val="18"/>
        </w:rPr>
        <w:t>Zava Group Holdings Berhad — Group Policy Handbook v4.2 | Effective 1 Jan 2025 | Approved by Board 15 Dec 2024</w:t>
        <w:br/>
        <w:t>For queries: grouplegal@zavagroup.com | groupHR@zavagroup.com</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