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2D55"/>
          <w:sz w:val="44"/>
        </w:rPr>
        <w:t>ZAVA GROUP HOLDINGS BERHAD</w:t>
      </w:r>
    </w:p>
    <w:p>
      <w:pPr>
        <w:jc w:val="center"/>
      </w:pPr>
      <w:r>
        <w:rPr>
          <w:b/>
          <w:color w:val="00878A"/>
          <w:sz w:val="40"/>
        </w:rPr>
        <w:t>ZAVA FORWARD 2030</w:t>
      </w:r>
    </w:p>
    <w:p>
      <w:pPr>
        <w:jc w:val="center"/>
      </w:pPr>
      <w:r>
        <w:rPr>
          <w:b/>
          <w:color w:val="1A1A2E"/>
          <w:sz w:val="28"/>
        </w:rPr>
        <w:t>GROUP STRATEGIC FRAMEWORK FY2025-2030</w:t>
      </w:r>
    </w:p>
    <w:p/>
    <w:p>
      <w:pPr>
        <w:jc w:val="center"/>
      </w:pPr>
      <w:r>
        <w:rPr>
          <w:color w:val="6B7280"/>
          <w:sz w:val="22"/>
        </w:rPr>
        <w:t>Approved by Board of Directors: 15 December 2024</w:t>
        <w:br/>
        <w:t>Prepared by: Group Strategy Office | Marcus Chen, Group CSO</w:t>
        <w:br/>
        <w:t>Dual HQ: Kuala Lumpur, Malaysia &amp; Jakarta, Indonesia</w:t>
      </w:r>
    </w:p>
    <w:p>
      <w:r>
        <w:br w:type="page"/>
      </w:r>
    </w:p>
    <w:p>
      <w:pPr>
        <w:spacing w:before="360" w:after="120"/>
      </w:pPr>
      <w:r>
        <w:rPr>
          <w:b/>
          <w:color w:val="1F2D55"/>
          <w:sz w:val="32"/>
        </w:rPr>
        <w:t>Section 1: Strategic Vision &amp; Pillars</w:t>
      </w:r>
    </w:p>
    <w:p>
      <w:pPr>
        <w:spacing w:after="100"/>
      </w:pPr>
      <w:r>
        <w:rPr>
          <w:color w:val="1A1A2E"/>
          <w:sz w:val="21"/>
        </w:rPr>
        <w:t>Zava Forward 2030 charts a clear course for Zava Group Holdings Berhad to become Asia's most trusted diversified conglomerate, delivering sustainable prosperity across 11 divisions, 87,000 employees, and communities across ASEAN.</w:t>
      </w:r>
    </w:p>
    <w:p>
      <w:r>
        <w:rPr>
          <w:b/>
          <w:color w:val="1F2D55"/>
          <w:sz w:val="24"/>
        </w:rPr>
        <w:t xml:space="preserve">Vision: </w:t>
      </w:r>
      <w:r>
        <w:rPr>
          <w:color w:val="1A1A2E"/>
          <w:sz w:val="24"/>
        </w:rPr>
        <w:t>"Asia's most trusted diversified conglomerate, delivering sustainable prosperity"</w:t>
      </w:r>
    </w:p>
    <w:p>
      <w:r>
        <w:rPr>
          <w:b/>
          <w:color w:val="00878A"/>
          <w:sz w:val="22"/>
        </w:rPr>
        <w:t xml:space="preserve">Mission: </w:t>
      </w:r>
      <w:r>
        <w:rPr>
          <w:color w:val="1A1A2E"/>
          <w:sz w:val="22"/>
        </w:rPr>
        <w:t>We create enduring value through disciplined capital allocation, operational excellence, and responsible stewardship of our natural and human resources.</w:t>
      </w:r>
    </w:p>
    <w:p>
      <w:pPr>
        <w:spacing w:before="200" w:after="80"/>
      </w:pPr>
      <w:r>
        <w:rPr>
          <w:b/>
          <w:color w:val="00878A"/>
          <w:sz w:val="26"/>
        </w:rPr>
        <w:t>1.1 Five Strategic Pillars</w:t>
      </w:r>
    </w:p>
    <w:p>
      <w:pPr>
        <w:spacing w:before="160" w:after="40"/>
      </w:pPr>
      <w:r>
        <w:rPr>
          <w:b/>
          <w:color w:val="1A1A2E"/>
          <w:sz w:val="22"/>
        </w:rPr>
        <w:t>Pillar 1 - Portfolio Optimisation</w:t>
      </w:r>
    </w:p>
    <w:p>
      <w:pPr>
        <w:spacing w:after="100"/>
      </w:pPr>
      <w:r>
        <w:rPr>
          <w:color w:val="1A1A2E"/>
          <w:sz w:val="21"/>
        </w:rPr>
        <w:t>Divest non-core assets (target MYR 2.8B proceeds FY2025-2027), acquire high-growth healthcare and digital assets, and unlock REIT value from the Properties portfolio (IPO target FY2026).</w:t>
      </w:r>
    </w:p>
    <w:p>
      <w:pPr>
        <w:spacing w:before="160" w:after="40"/>
      </w:pPr>
      <w:r>
        <w:rPr>
          <w:b/>
          <w:color w:val="1A1A2E"/>
          <w:sz w:val="22"/>
        </w:rPr>
        <w:t>Pillar 2 - Digital Transformation</w:t>
      </w:r>
    </w:p>
    <w:p>
      <w:pPr>
        <w:spacing w:after="100"/>
      </w:pPr>
      <w:r>
        <w:rPr>
          <w:color w:val="1A1A2E"/>
          <w:sz w:val="21"/>
        </w:rPr>
        <w:t>MYR 1.4B technology investment: SAP S/4HANA ERP, shared Azure data lake, M365 Copilot to all 15,000 knowledge workers by Q3 FY2025, and digital channels for Retail &amp; Pharma.</w:t>
      </w:r>
    </w:p>
    <w:p>
      <w:pPr>
        <w:spacing w:before="160" w:after="40"/>
      </w:pPr>
      <w:r>
        <w:rPr>
          <w:b/>
          <w:color w:val="1A1A2E"/>
          <w:sz w:val="22"/>
        </w:rPr>
        <w:t>Pillar 3 - ESG Leadership</w:t>
      </w:r>
    </w:p>
    <w:p>
      <w:pPr>
        <w:spacing w:after="100"/>
      </w:pPr>
      <w:r>
        <w:rPr>
          <w:color w:val="1A1A2E"/>
          <w:sz w:val="21"/>
        </w:rPr>
        <w:t>RSPO 100% certification by FY2026, net zero Scope 1&amp;2 by 2050 (45% reduction by 2030), full EUDR compliance by Dec 2025, GRI/TCFD-aligned annual sustainability reporting.</w:t>
      </w:r>
    </w:p>
    <w:p>
      <w:pPr>
        <w:spacing w:before="160" w:after="40"/>
      </w:pPr>
      <w:r>
        <w:rPr>
          <w:b/>
          <w:color w:val="1A1A2E"/>
          <w:sz w:val="22"/>
        </w:rPr>
        <w:t>Pillar 4 - Talent Excellence</w:t>
      </w:r>
    </w:p>
    <w:p>
      <w:pPr>
        <w:spacing w:after="100"/>
      </w:pPr>
      <w:r>
        <w:rPr>
          <w:color w:val="1A1A2E"/>
          <w:sz w:val="21"/>
        </w:rPr>
        <w:t>40% women in management by FY2028; reduce plantation attrition from 26% to below 18%; BPO Bengaluru from 31% to below 22%; AI literacy for all 15,000 knowledge workers.</w:t>
      </w:r>
    </w:p>
    <w:p>
      <w:pPr>
        <w:spacing w:before="160" w:after="40"/>
      </w:pPr>
      <w:r>
        <w:rPr>
          <w:b/>
          <w:color w:val="1A1A2E"/>
          <w:sz w:val="22"/>
        </w:rPr>
        <w:t>Pillar 5 - Capital Efficiency</w:t>
      </w:r>
    </w:p>
    <w:p>
      <w:pPr>
        <w:spacing w:after="100"/>
      </w:pPr>
      <w:r>
        <w:rPr>
          <w:color w:val="1A1A2E"/>
          <w:sz w:val="21"/>
        </w:rPr>
        <w:t>Reduce Net Gearing from 0.82x to below 0.65x by FY2027; maintain DPS MYR 0.18; improve Group ROAE from 8.4% to 12% by FY2028.</w:t>
      </w:r>
    </w:p>
    <w:p>
      <w:r>
        <w:br w:type="page"/>
      </w:r>
    </w:p>
    <w:p>
      <w:pPr>
        <w:spacing w:before="360" w:after="120"/>
      </w:pPr>
      <w:r>
        <w:rPr>
          <w:b/>
          <w:color w:val="1F2D55"/>
          <w:sz w:val="32"/>
        </w:rPr>
        <w:t>Section 2: Group Financial Outlook FY2025-2030</w:t>
      </w:r>
    </w:p>
    <w:p>
      <w:pPr>
        <w:spacing w:after="100"/>
      </w:pPr>
      <w:r>
        <w:rPr>
          <w:color w:val="1A1A2E"/>
          <w:sz w:val="21"/>
        </w:rPr>
        <w:t>The Group targets 7-9% revenue CAGR over FY2025-2030 driven by Healthcare M&amp;A, Pharma pipeline launches, Properties REIT capital recycling, and BPO AI-augmented margin expansion.</w:t>
      </w:r>
    </w:p>
    <w:p>
      <w:pPr>
        <w:spacing w:after="80"/>
      </w:pPr>
      <w:r>
        <w:rPr>
          <w:b/>
          <w:color w:val="00878A"/>
          <w:sz w:val="20"/>
        </w:rPr>
        <w:t xml:space="preserve">FY2024 Baseline: </w:t>
      </w:r>
      <w:r>
        <w:rPr>
          <w:color w:val="1A1A2E"/>
          <w:sz w:val="20"/>
        </w:rPr>
        <w:t>Revenue MYR 44.8B | EBITDA MYR 7.2B (16.1%) | PATAMI MYR 2.8B | Net Debt MYR 18.4B | Net Gearing 0.82x | Market Cap MYR 28.4B</w:t>
      </w:r>
    </w:p>
    <w:p>
      <w:pPr>
        <w:spacing w:after="80"/>
      </w:pPr>
      <w:r>
        <w:rPr>
          <w:b/>
          <w:color w:val="00878A"/>
          <w:sz w:val="20"/>
        </w:rPr>
        <w:t xml:space="preserve">FY2028 Target: </w:t>
      </w:r>
      <w:r>
        <w:rPr>
          <w:color w:val="1A1A2E"/>
          <w:sz w:val="20"/>
        </w:rPr>
        <w:t>Revenue MYR 62-65B | EBITDA 17.5-18.5% | PATAMI MYR 4.5-5.0B | Net Gearing &lt; 0.65x | ROAE 12% | DPS MYR 0.26</w:t>
      </w:r>
    </w:p>
    <w:p>
      <w:pPr>
        <w:spacing w:before="200" w:after="80"/>
      </w:pPr>
      <w:r>
        <w:rPr>
          <w:b/>
          <w:color w:val="00878A"/>
          <w:sz w:val="26"/>
        </w:rPr>
        <w:t>2.1 Capital Allocation FY2025-2027 (MYR 12.4B)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Growth Capex - M&amp;A: MYR 4.8B (Healthcare 4 targets, Pharma ASEAN, BPO platform)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Growth Capex - Organic: MYR 3.2B (Agribusiness replanting, Pharma Phase 3, Properties pipeline)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Maintenance Capex: MYR 2.8B (Chemicals turnaround, Nilai plant upgrade, IT/ERP)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ESG Capex: MYR 1.2B (Lestari peatland remediation, renewable energy, EUDR compliance)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Digital Transformation: MYR 0.4B (M365 Copilot, SAP S/4HANA, Azure Fabric data lake)</w:t>
      </w:r>
    </w:p>
    <w:p>
      <w:r>
        <w:br w:type="page"/>
      </w:r>
    </w:p>
    <w:p>
      <w:pPr>
        <w:spacing w:before="360" w:after="120"/>
      </w:pPr>
      <w:r>
        <w:rPr>
          <w:b/>
          <w:color w:val="1F2D55"/>
          <w:sz w:val="32"/>
        </w:rPr>
        <w:t>Section 3: Division-by-Division Strategy</w:t>
      </w:r>
    </w:p>
    <w:p>
      <w:pPr>
        <w:spacing w:before="200" w:after="80"/>
      </w:pPr>
      <w:r>
        <w:rPr>
          <w:b/>
          <w:color w:val="00878A"/>
          <w:sz w:val="26"/>
        </w:rPr>
        <w:t>3.1 Zava Chemicals</w:t>
      </w:r>
    </w:p>
    <w:p>
      <w:pPr>
        <w:spacing w:after="100"/>
      </w:pPr>
      <w:r>
        <w:rPr>
          <w:color w:val="1A1A2E"/>
          <w:sz w:val="21"/>
        </w:rPr>
        <w:t>Grow specialty chemicals from 18% to 30% of divisional revenue by FY2028; remediate Cilegon plant compliance.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Complete Cilegon enforcement notice remediation by Q3 FY2025; restart 2 suspended product lines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Invest MYR 380M in Kertih debottlenecking (+60,000 MT capacity FY2025-2026)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Develop caprylic/capric and isostearic acid for high-margin pharma/cosmetic export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ISO 45001 &amp; ISO 14001 for all 3 plants by FY2026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Explore European specialty chemicals distributor acquisition for direct EU market access</w:t>
      </w:r>
    </w:p>
    <w:p>
      <w:pPr>
        <w:spacing w:after="80"/>
      </w:pPr>
      <w:r>
        <w:rPr>
          <w:b/>
          <w:color w:val="00878A"/>
          <w:sz w:val="20"/>
        </w:rPr>
        <w:t xml:space="preserve">Key Targets: </w:t>
      </w:r>
      <w:r>
        <w:rPr>
          <w:color w:val="1A1A2E"/>
          <w:sz w:val="20"/>
        </w:rPr>
        <w:t>Revenue FY2028: MYR 8.4B | EBITDA Target: 17-18% | Risk: PKO feedstock volatility</w:t>
      </w:r>
    </w:p>
    <w:p/>
    <w:p>
      <w:pPr>
        <w:spacing w:before="200" w:after="80"/>
      </w:pPr>
      <w:r>
        <w:rPr>
          <w:b/>
          <w:color w:val="00878A"/>
          <w:sz w:val="26"/>
        </w:rPr>
        <w:t>3.2 Zava Agribusiness</w:t>
      </w:r>
    </w:p>
    <w:p>
      <w:pPr>
        <w:spacing w:after="100"/>
      </w:pPr>
      <w:r>
        <w:rPr>
          <w:color w:val="1A1A2E"/>
          <w:sz w:val="21"/>
        </w:rPr>
        <w:t>Improve CPO yield to 21 MT/ha average by FY2028; achieve 100% RSPO; resolve Lestari suspension.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Perkebunan Lestari: RSPO corrective action plan Q2 FY2025; peat rewetting roadmap (8,200 ha)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EUDR: Geolocation mapping for all 12 estates by Q3 FY2025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Replanting 18,400 ha FY2025-2027 (Ladang Sri Murni, Rimba Permai) at MYR 14,500/ha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Mill upgrade: 3rd line at Kertih Sabah mill (MYR 85M capex, +25% capacity)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Biodiesel: Evaluate Indonesian FAME facility acquisition for downstream margin capture</w:t>
      </w:r>
    </w:p>
    <w:p>
      <w:pPr>
        <w:spacing w:after="80"/>
      </w:pPr>
      <w:r>
        <w:rPr>
          <w:b/>
          <w:color w:val="00878A"/>
          <w:sz w:val="20"/>
        </w:rPr>
        <w:t xml:space="preserve">Key Targets: </w:t>
      </w:r>
      <w:r>
        <w:rPr>
          <w:color w:val="1A1A2E"/>
          <w:sz w:val="20"/>
        </w:rPr>
        <w:t>CPO Production FY2028: 1.35M MT | Risk: EUDR timeline, peatland cost</w:t>
      </w:r>
    </w:p>
    <w:p/>
    <w:p>
      <w:pPr>
        <w:spacing w:before="200" w:after="80"/>
      </w:pPr>
      <w:r>
        <w:rPr>
          <w:b/>
          <w:color w:val="00878A"/>
          <w:sz w:val="26"/>
        </w:rPr>
        <w:t>3.3 Zava Manufacturing</w:t>
      </w:r>
    </w:p>
    <w:p>
      <w:pPr>
        <w:spacing w:after="100"/>
      </w:pPr>
      <w:r>
        <w:rPr>
          <w:color w:val="1A1A2E"/>
          <w:sz w:val="21"/>
        </w:rPr>
        <w:t>Achieve Group OEE &gt;82% average by FY2027; grow aerospace to 15% of divisional revenue.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Nilai Plant: Spindle motor replacement + MES implementation by Q4 FY2025 (MYR 20.6M)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Batam FTZ: Add CNC Line 4 for AS9100 aerospace (MYR 45M capex)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Subang Electronics: Semiconductor backend assembly partnership - est. MYR 180M new revenue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Solar rooftop on all 6 plants (40% energy self-sufficiency target FY2026)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Bekasi: Deploy collaborative robots, reduce headcount intensity 18%</w:t>
      </w:r>
    </w:p>
    <w:p>
      <w:pPr>
        <w:spacing w:after="80"/>
      </w:pPr>
      <w:r>
        <w:rPr>
          <w:b/>
          <w:color w:val="00878A"/>
          <w:sz w:val="20"/>
        </w:rPr>
        <w:t xml:space="preserve">Key Targets: </w:t>
      </w:r>
      <w:r>
        <w:rPr>
          <w:color w:val="1A1A2E"/>
          <w:sz w:val="20"/>
        </w:rPr>
        <w:t>Revenue FY2028: MYR 7.2B | OEE Target: &gt;82% | Risk: Nilai plant continued decline</w:t>
      </w:r>
    </w:p>
    <w:p/>
    <w:p>
      <w:pPr>
        <w:spacing w:before="200" w:after="80"/>
      </w:pPr>
      <w:r>
        <w:rPr>
          <w:b/>
          <w:color w:val="00878A"/>
          <w:sz w:val="26"/>
        </w:rPr>
        <w:t>3.4 Zava Financial Services</w:t>
      </w:r>
    </w:p>
    <w:p>
      <w:pPr>
        <w:spacing w:after="100"/>
      </w:pPr>
      <w:r>
        <w:rPr>
          <w:color w:val="1A1A2E"/>
          <w:sz w:val="21"/>
        </w:rPr>
        <w:t>Remediate Retail Personal Loan NPL crisis (21.7%); rebuild CET1 &gt;12%; grow Islamic banking to 18% of loan book.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NPL remediation: Reduce Retail Personal NPL to &lt;5% by Q4 FY2026 via portfolio sale + credit tightening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Capital plan: Rights issue MYR 1.2B (Q2 FY2025) to restore CET1 above 12%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Islamic banking: New Tawarruq SME product suite; target 18% of loan book by FY2027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Digital: Zava Bank Mobile 2.0 with AI spending insights; Copilot for relationship managers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BNM: Quarterly regulator briefings on NPL remediation progress</w:t>
      </w:r>
    </w:p>
    <w:p>
      <w:pPr>
        <w:spacing w:after="80"/>
      </w:pPr>
      <w:r>
        <w:rPr>
          <w:b/>
          <w:color w:val="00878A"/>
          <w:sz w:val="20"/>
        </w:rPr>
        <w:t xml:space="preserve">Key Targets: </w:t>
      </w:r>
      <w:r>
        <w:rPr>
          <w:color w:val="1A1A2E"/>
          <w:sz w:val="20"/>
        </w:rPr>
        <w:t>Loan Book FY2028: MYR 38B | CET1 Target: 12.5%+ | Risk: NPL provisioning drag</w:t>
      </w:r>
    </w:p>
    <w:p/>
    <w:p>
      <w:pPr>
        <w:spacing w:before="200" w:after="80"/>
      </w:pPr>
      <w:r>
        <w:rPr>
          <w:b/>
          <w:color w:val="00878A"/>
          <w:sz w:val="26"/>
        </w:rPr>
        <w:t>3.5 Zava Properties</w:t>
      </w:r>
    </w:p>
    <w:p>
      <w:pPr>
        <w:spacing w:after="100"/>
      </w:pPr>
      <w:r>
        <w:rPr>
          <w:color w:val="1A1A2E"/>
          <w:sz w:val="21"/>
        </w:rPr>
        <w:t>Execute REIT IPO by FY2026; recycle MYR 5-6B capital; grow data centre portfolio to 3 assets.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REIT: Appoint CIMB Islamic + Maybank IB as advisers; 12 REIT-eligible assets (MYR 8.2B gross)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Data Centres: Acquire 2 additional Tier III DCs in KL + Jakarta (MYR 480M)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Divest: Plaza Zava PJ, Medan office, Ladang Sri Murni staff housing (MYR 315M proceeds)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Johor: Begin Iskandar mixed-use JV with MRCB (MYR 1.8B GDV)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Bekasi Business Park Phase 2: +800,000 sq ft (IDR 980B)</w:t>
      </w:r>
    </w:p>
    <w:p>
      <w:pPr>
        <w:spacing w:after="80"/>
      </w:pPr>
      <w:r>
        <w:rPr>
          <w:b/>
          <w:color w:val="00878A"/>
          <w:sz w:val="20"/>
        </w:rPr>
        <w:t xml:space="preserve">Key Targets: </w:t>
      </w:r>
      <w:r>
        <w:rPr>
          <w:color w:val="1A1A2E"/>
          <w:sz w:val="20"/>
        </w:rPr>
        <w:t>REIT IPO: FY2026 | Net Proceeds: MYR 3.0-3.5B | Risk: Interest rate impact on REIT valuations</w:t>
      </w:r>
    </w:p>
    <w:p/>
    <w:p>
      <w:pPr>
        <w:spacing w:before="200" w:after="80"/>
      </w:pPr>
      <w:r>
        <w:rPr>
          <w:b/>
          <w:color w:val="00878A"/>
          <w:sz w:val="26"/>
        </w:rPr>
        <w:t>3.6 Zava BPO &amp; Digital</w:t>
      </w:r>
    </w:p>
    <w:p>
      <w:pPr>
        <w:spacing w:after="100"/>
      </w:pPr>
      <w:r>
        <w:rPr>
          <w:color w:val="1A1A2E"/>
          <w:sz w:val="21"/>
        </w:rPr>
        <w:t>Renew 3 at-risk contracts; deploy AI-augmented BPO; reduce Bengaluru attrition.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Close Sime Darby renewal Apr 2025, Bank Mandiri Aug 2025, Pan Pacific Sep 2025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M365 Copilot across all delivery centres: 22% productivity gain; share 60% with clients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Win 2 new Tier 1 ASEAN clients by FY2026 (TCV MYR 85M)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Bengaluru: Career pathways + hybrid work + retention bonus; target &lt;22% attrition FY2026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Build proprietary BPO analytics platform on Azure + Fabric</w:t>
      </w:r>
    </w:p>
    <w:p>
      <w:pPr>
        <w:spacing w:after="80"/>
      </w:pPr>
      <w:r>
        <w:rPr>
          <w:b/>
          <w:color w:val="00878A"/>
          <w:sz w:val="20"/>
        </w:rPr>
        <w:t xml:space="preserve">Key Targets: </w:t>
      </w:r>
      <w:r>
        <w:rPr>
          <w:color w:val="1A1A2E"/>
          <w:sz w:val="20"/>
        </w:rPr>
        <w:t>Revenue FY2028: MYR 2.1B | EBITDA Target: 16-18% | Risk: Client insourcing</w:t>
      </w:r>
    </w:p>
    <w:p/>
    <w:p>
      <w:pPr>
        <w:spacing w:before="200" w:after="80"/>
      </w:pPr>
      <w:r>
        <w:rPr>
          <w:b/>
          <w:color w:val="00878A"/>
          <w:sz w:val="26"/>
        </w:rPr>
        <w:t>3.7 Zava Trading</w:t>
      </w:r>
    </w:p>
    <w:p>
      <w:pPr>
        <w:spacing w:after="100"/>
      </w:pPr>
      <w:r>
        <w:rPr>
          <w:color w:val="1A1A2E"/>
          <w:sz w:val="21"/>
        </w:rPr>
        <w:t>Grow structured trading to MYR 12B; enforce risk controls after coal position limit breach.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Bloomberg BVAL real-time P&amp;L; reduce single counterparty cap to 10%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Coal desk: Reduce Newcastle exposure; explore carbon credits transition product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MDEX team: 4 to 7 traders; palm kernel oil crack spread arbitrage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Resolve Glencore USD 6.8M overdue; credit insurance for non-rated counterparties</w:t>
      </w:r>
    </w:p>
    <w:p>
      <w:pPr>
        <w:spacing w:after="80"/>
      </w:pPr>
      <w:r>
        <w:rPr>
          <w:b/>
          <w:color w:val="00878A"/>
          <w:sz w:val="20"/>
        </w:rPr>
        <w:t xml:space="preserve">Key Targets: </w:t>
      </w:r>
      <w:r>
        <w:rPr>
          <w:color w:val="1A1A2E"/>
          <w:sz w:val="20"/>
        </w:rPr>
        <w:t>Revenue FY2028: MYR 12B | EBIT Margin: 1.4-1.6% | Risk: Position limit culture</w:t>
      </w:r>
    </w:p>
    <w:p/>
    <w:p>
      <w:pPr>
        <w:spacing w:before="200" w:after="80"/>
      </w:pPr>
      <w:r>
        <w:rPr>
          <w:b/>
          <w:color w:val="00878A"/>
          <w:sz w:val="26"/>
        </w:rPr>
        <w:t>3.8 Zava Pharma</w:t>
      </w:r>
    </w:p>
    <w:p>
      <w:pPr>
        <w:spacing w:after="100"/>
      </w:pPr>
      <w:r>
        <w:rPr>
          <w:color w:val="1A1A2E"/>
          <w:sz w:val="21"/>
        </w:rPr>
        <w:t>Launch Sitagliptin + Rosuvastatin generics by FY2026; expand to Vietnam/Philippines; MYR 500M revenue by FY2028.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Sitagliptin: BPfK submission Q2 FY2025; BPOM Q3 FY2025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Rosuvastatin: Recover 4-month trial delay; BPfK submission Q4 FY2026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ASEAN expansion: Register top 5 products in Vietnam (DAV) + Philippines (FDA) by FY2026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OTC: ZavaVit Kids + ZavaDerm skincare launch (MYR 45M incremental FY2026)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Biosimilar: MYR 26M Adalimumab investment; CAR-T partnership with UM Medical Centre</w:t>
      </w:r>
    </w:p>
    <w:p>
      <w:pPr>
        <w:spacing w:after="80"/>
      </w:pPr>
      <w:r>
        <w:rPr>
          <w:b/>
          <w:color w:val="00878A"/>
          <w:sz w:val="20"/>
        </w:rPr>
        <w:t xml:space="preserve">Key Targets: </w:t>
      </w:r>
      <w:r>
        <w:rPr>
          <w:color w:val="1A1A2E"/>
          <w:sz w:val="20"/>
        </w:rPr>
        <w:t>Revenue FY2028: MYR 500M | R&amp;D: 8% of revenue | Risk: BE study delays, BPOM timeline</w:t>
      </w:r>
    </w:p>
    <w:p/>
    <w:p>
      <w:pPr>
        <w:spacing w:before="200" w:after="80"/>
      </w:pPr>
      <w:r>
        <w:rPr>
          <w:b/>
          <w:color w:val="00878A"/>
          <w:sz w:val="26"/>
        </w:rPr>
        <w:t>3.9 Zava Healthcare</w:t>
      </w:r>
    </w:p>
    <w:p>
      <w:pPr>
        <w:spacing w:after="100"/>
      </w:pPr>
      <w:r>
        <w:rPr>
          <w:color w:val="1A1A2E"/>
          <w:sz w:val="21"/>
        </w:rPr>
        <w:t>Complete minimum 2 of 4 M&amp;A targets by FY2026; grow from 10 to 16 hospitals by FY2028.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PrimeCare Holdings (MY, MYR 1.2B): Complete acquisition Q4 FY2025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IndoMed Group (ID): Evaluate for FY2026 acquisition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JCI accreditation for 4 flagship hospitals by FY2026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Zava Health app: 500,000 active users by FY2027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BPO synergy: Revenue cycle management for all 10 hospitals (MYR 28M savings)</w:t>
      </w:r>
    </w:p>
    <w:p>
      <w:pPr>
        <w:spacing w:after="80"/>
      </w:pPr>
      <w:r>
        <w:rPr>
          <w:b/>
          <w:color w:val="00878A"/>
          <w:sz w:val="20"/>
        </w:rPr>
        <w:t xml:space="preserve">Key Targets: </w:t>
      </w:r>
      <w:r>
        <w:rPr>
          <w:color w:val="1A1A2E"/>
          <w:sz w:val="20"/>
        </w:rPr>
        <w:t>Hospitals FY2028: 16 | Revenue FY2028: MYR 5.2B | Risk: Integration complexity, nursing shortage</w:t>
      </w:r>
    </w:p>
    <w:p/>
    <w:p>
      <w:pPr>
        <w:spacing w:before="200" w:after="80"/>
      </w:pPr>
      <w:r>
        <w:rPr>
          <w:b/>
          <w:color w:val="00878A"/>
          <w:sz w:val="26"/>
        </w:rPr>
        <w:t>3.10 Zava Retail &amp; Hospitality</w:t>
      </w:r>
    </w:p>
    <w:p>
      <w:pPr>
        <w:spacing w:after="100"/>
      </w:pPr>
      <w:r>
        <w:rPr>
          <w:color w:val="1A1A2E"/>
          <w:sz w:val="21"/>
        </w:rPr>
        <w:t>Grow hotel occupancy to 82% average by FY2027; revitalise Zava Mall; F&amp;B franchise expansion in Indonesia.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Zava Mall Bukit Bintang: MYR 95M tenant rejuvenation; target 95% occupancy FY2026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The Zava Hotel KL: Marriott Autograph Collection rebrand discussions ongoing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Bali resort: 40 additional villas (IDR 280B capex)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F&amp;B: Launch Zava Kitchen franchise 25 outlets in Jabodetabek by FY2027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E-commerce: Omnichannel platform (Lazada + Shopee + Zava.com); MYR 180M GMV target FY2026</w:t>
      </w:r>
    </w:p>
    <w:p>
      <w:pPr>
        <w:spacing w:after="80"/>
      </w:pPr>
      <w:r>
        <w:rPr>
          <w:b/>
          <w:color w:val="00878A"/>
          <w:sz w:val="20"/>
        </w:rPr>
        <w:t xml:space="preserve">Key Targets: </w:t>
      </w:r>
      <w:r>
        <w:rPr>
          <w:color w:val="1A1A2E"/>
          <w:sz w:val="20"/>
        </w:rPr>
        <w:t>RevPAR FY2028: MYR 510 (MY), USD 165 (Bali) | Revenue FY2028: MYR 2.4B</w:t>
      </w:r>
    </w:p>
    <w:p/>
    <w:p>
      <w:pPr>
        <w:spacing w:before="200" w:after="80"/>
      </w:pPr>
      <w:r>
        <w:rPr>
          <w:b/>
          <w:color w:val="00878A"/>
          <w:sz w:val="26"/>
        </w:rPr>
        <w:t>3.11 Group Holdings &amp; Corporate</w:t>
      </w:r>
    </w:p>
    <w:p>
      <w:pPr>
        <w:spacing w:after="100"/>
      </w:pPr>
      <w:r>
        <w:rPr>
          <w:color w:val="1A1A2E"/>
          <w:sz w:val="21"/>
        </w:rPr>
        <w:t>Optimise holding structure; manage GLC stakes; complete M365 Copilot deployment.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M365 Copilot: Full deployment to 15,000 knowledge workers by Q3 FY2025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GLC: Manage 3 listed associates (book value MYR 4.2B); evaluate partial divestment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Governance: Dual listing (Bursa + IDX) compliance; explore SGX dual-primary listing FY2027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Group services: Consolidate treasury, tax, legal, IT in KL HQ</w:t>
      </w:r>
    </w:p>
    <w:p>
      <w:pPr>
        <w:spacing w:after="80"/>
      </w:pPr>
      <w:r>
        <w:rPr>
          <w:b/>
          <w:color w:val="00878A"/>
          <w:sz w:val="20"/>
        </w:rPr>
        <w:t xml:space="preserve">Key Targets: </w:t>
      </w:r>
      <w:r>
        <w:rPr>
          <w:color w:val="1A1A2E"/>
          <w:sz w:val="20"/>
        </w:rPr>
        <w:t>Group overhead target: &lt;1.8% of revenue | Digital ROI: 15% productivity uplift FY2026</w:t>
      </w:r>
    </w:p>
    <w:p/>
    <w:p>
      <w:r>
        <w:br w:type="page"/>
      </w:r>
    </w:p>
    <w:p>
      <w:pPr>
        <w:spacing w:before="360" w:after="120"/>
      </w:pPr>
      <w:r>
        <w:rPr>
          <w:b/>
          <w:color w:val="1F2D55"/>
          <w:sz w:val="32"/>
        </w:rPr>
        <w:t>Section 4: Digital Transformation Agenda</w:t>
      </w:r>
    </w:p>
    <w:p>
      <w:pPr>
        <w:spacing w:after="100"/>
      </w:pPr>
      <w:r>
        <w:rPr>
          <w:color w:val="1A1A2E"/>
          <w:sz w:val="21"/>
        </w:rPr>
        <w:t>The MYR 1.4B digital investment over FY2025-2027 is anchored on three platforms: Microsoft 365 (productivity &amp; AI), SAP S/4HANA (ERP), and Microsoft Azure Fabric (data &amp; analytics).</w:t>
      </w:r>
    </w:p>
    <w:p>
      <w:pPr>
        <w:spacing w:before="200" w:after="80"/>
      </w:pPr>
      <w:r>
        <w:rPr>
          <w:b/>
          <w:color w:val="00878A"/>
          <w:sz w:val="26"/>
        </w:rPr>
        <w:t>4.1 M365 Copilot Deployment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Phase 1 Q1 FY2025: Group Holdings, Zava Bank, Properties -- 3,200 seats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Phase 2 Q2 FY2025: Chemicals, Manufacturing, Pharma, Healthcare -- 5,800 seats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Phase 3 Q3 FY2025: Agribusiness mgmt, BPO, Trading, Retail -- 6,000 seats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Total: ~15,000 M365 Copilot seats + Copilot Chat (free) for remaining employees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120 AI Champions across 11 divisions; monthly Copilot Impact Review chaired by Group CSO</w:t>
      </w:r>
    </w:p>
    <w:p>
      <w:pPr>
        <w:spacing w:before="200" w:after="80"/>
      </w:pPr>
      <w:r>
        <w:rPr>
          <w:b/>
          <w:color w:val="00878A"/>
          <w:sz w:val="26"/>
        </w:rPr>
        <w:t>4.2 SAP S/4HANA ERP Harmonisation</w:t>
      </w:r>
    </w:p>
    <w:p>
      <w:pPr>
        <w:spacing w:after="100"/>
      </w:pPr>
      <w:r>
        <w:rPr>
          <w:color w:val="1A1A2E"/>
          <w:sz w:val="21"/>
        </w:rPr>
        <w:t>Currently 7 different ERP systems across divisions. S/4HANA Cloud Private Edition rollout: Chemicals FY2025, Manufacturing FY2026, full Group by FY2028. Integration with Azure Data Lake creates unified Group data estate.</w:t>
      </w:r>
    </w:p>
    <w:p>
      <w:pPr>
        <w:spacing w:before="200" w:after="80"/>
      </w:pPr>
      <w:r>
        <w:rPr>
          <w:b/>
          <w:color w:val="00878A"/>
          <w:sz w:val="26"/>
        </w:rPr>
        <w:t>4.3 Microsoft Fabric Analytics Platform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Real-time Group financial dashboard for CFO and divisional CFOs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ESG data aggregation for automated GRI/TCFD reporting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Predictive maintenance analytics for Nilai and Cilegon plants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Attrition prediction model for Agribusiness and BPO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Copilot Chat (Work) grounded on Group SharePoint for senior leadership natural language queries</w:t>
      </w:r>
    </w:p>
    <w:p>
      <w:r>
        <w:br w:type="page"/>
      </w:r>
    </w:p>
    <w:p>
      <w:pPr>
        <w:spacing w:before="360" w:after="120"/>
      </w:pPr>
      <w:r>
        <w:rPr>
          <w:b/>
          <w:color w:val="1F2D55"/>
          <w:sz w:val="32"/>
        </w:rPr>
        <w:t>Section 5: ESG &amp; Sustainability Strategy</w:t>
      </w:r>
    </w:p>
    <w:p>
      <w:pPr>
        <w:spacing w:after="100"/>
      </w:pPr>
      <w:r>
        <w:rPr>
          <w:color w:val="1A1A2E"/>
          <w:sz w:val="21"/>
        </w:rPr>
        <w:t>ESG sits at the core of Zava Forward 2030. Investors, lenders, and regulators expect material ESG performance as a licence to operate. The Group reports under GRI Standards and TCFD framework.</w:t>
      </w:r>
    </w:p>
    <w:p>
      <w:pPr>
        <w:spacing w:before="200" w:after="80"/>
      </w:pPr>
      <w:r>
        <w:rPr>
          <w:b/>
          <w:color w:val="00878A"/>
          <w:sz w:val="26"/>
        </w:rPr>
        <w:t>5.1 Climate Targets</w:t>
      </w:r>
    </w:p>
    <w:p>
      <w:pPr>
        <w:spacing w:after="80"/>
      </w:pPr>
      <w:r>
        <w:rPr>
          <w:b/>
          <w:color w:val="00878A"/>
          <w:sz w:val="20"/>
        </w:rPr>
        <w:t xml:space="preserve">Targets: </w:t>
      </w:r>
      <w:r>
        <w:rPr>
          <w:color w:val="1A1A2E"/>
          <w:sz w:val="20"/>
        </w:rPr>
        <w:t>Net Zero Scope 1+2 by 2050 | 45% GHG reduction by 2030 vs FY2020 | EUDR compliant Dec 2025 | 100% RSPO certified FY2026 | Zero new peatland development</w:t>
      </w:r>
    </w:p>
    <w:p>
      <w:pPr>
        <w:spacing w:before="200" w:after="80"/>
      </w:pPr>
      <w:r>
        <w:rPr>
          <w:b/>
          <w:color w:val="00878A"/>
          <w:sz w:val="26"/>
        </w:rPr>
        <w:t>5.2 EUDR Compliance Roadmap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Q1 FY2025: GPS geolocation boundary mapping for all 12 estates (73,420 ha)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Q2 FY2025: Deforestation-free declarations for all 7 MY estates to EU importers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Q3 FY2025: Lestari (East Kalimantan) EUDR risk assessment -- 8,200 ha peat critical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Q4 FY2025: All estates EUDR compliant; Lestari peat rewetting plan submitted to KLHK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FY2026: EUDR compliance cascaded to all independent smallholders supplying Zava mills</w:t>
      </w:r>
    </w:p>
    <w:p>
      <w:pPr>
        <w:spacing w:before="200" w:after="80"/>
      </w:pPr>
      <w:r>
        <w:rPr>
          <w:b/>
          <w:color w:val="00878A"/>
          <w:sz w:val="26"/>
        </w:rPr>
        <w:t>5.3 M&amp;A Sustainability Screen</w:t>
      </w:r>
    </w:p>
    <w:p>
      <w:pPr>
        <w:spacing w:after="100"/>
      </w:pPr>
      <w:r>
        <w:rPr>
          <w:color w:val="1A1A2E"/>
          <w:sz w:val="21"/>
        </w:rPr>
        <w:t>All M&amp;A targets must pass ESG due diligence before exclusive negotiations. Automatic exclusion: peatland &gt;0.5m depth without restoration plan; unresolved RSPO suspension &gt;12 months; confirmed child/forced labour without remediation; OFAC/EU/UN sanctions exposure.</w:t>
      </w:r>
    </w:p>
    <w:p>
      <w:r>
        <w:br w:type="page"/>
      </w:r>
    </w:p>
    <w:p>
      <w:pPr>
        <w:spacing w:before="360" w:after="120"/>
      </w:pPr>
      <w:r>
        <w:rPr>
          <w:b/>
          <w:color w:val="1F2D55"/>
          <w:sz w:val="32"/>
        </w:rPr>
        <w:t>Section 6: Talent &amp; People Strategy</w:t>
      </w:r>
    </w:p>
    <w:p>
      <w:pPr>
        <w:spacing w:after="100"/>
      </w:pPr>
      <w:r>
        <w:rPr>
          <w:color w:val="1A1A2E"/>
          <w:sz w:val="21"/>
        </w:rPr>
        <w:t>87,000 employees are Zava's most important asset. Three critical challenges: plantation attrition, BPO churn, and building digital/AI capability at scale.</w:t>
      </w:r>
    </w:p>
    <w:p>
      <w:pPr>
        <w:spacing w:before="200" w:after="80"/>
      </w:pPr>
      <w:r>
        <w:rPr>
          <w:b/>
          <w:color w:val="00878A"/>
          <w:sz w:val="26"/>
        </w:rPr>
        <w:t>6.1 Attrition Interventions</w:t>
      </w:r>
    </w:p>
    <w:p>
      <w:pPr>
        <w:spacing w:before="160" w:after="40"/>
      </w:pPr>
      <w:r>
        <w:rPr>
          <w:b/>
          <w:color w:val="1A1A2E"/>
          <w:sz w:val="22"/>
        </w:rPr>
        <w:t>Zava Agribusiness (Plantation): 26.1% -&gt; target &lt;18%</w:t>
      </w:r>
    </w:p>
    <w:p>
      <w:pPr>
        <w:spacing w:after="100"/>
      </w:pPr>
      <w:r>
        <w:rPr>
          <w:color w:val="1A1A2E"/>
          <w:sz w:val="21"/>
        </w:rPr>
        <w:t>Modernise worker housing to Grade A by FY2026; quarterly performance bonus; mobile app for field operations; Ladang Zava Academy for estate manager career progression.</w:t>
      </w:r>
    </w:p>
    <w:p>
      <w:pPr>
        <w:spacing w:before="160" w:after="40"/>
      </w:pPr>
      <w:r>
        <w:rPr>
          <w:b/>
          <w:color w:val="1A1A2E"/>
          <w:sz w:val="22"/>
        </w:rPr>
        <w:t>Zava BPO Bengaluru: 31.2% -&gt; target &lt;22%</w:t>
      </w:r>
    </w:p>
    <w:p>
      <w:pPr>
        <w:spacing w:after="100"/>
      </w:pPr>
      <w:r>
        <w:rPr>
          <w:color w:val="1A1A2E"/>
          <w:sz w:val="21"/>
        </w:rPr>
        <w:t>Hybrid work 3 days in-office; fast-track internal promotion; M365 Copilot as staff differentiator; salary at Infosys/Wipro benchmark +8% premium.</w:t>
      </w:r>
    </w:p>
    <w:p>
      <w:pPr>
        <w:spacing w:before="160" w:after="40"/>
      </w:pPr>
      <w:r>
        <w:rPr>
          <w:b/>
          <w:color w:val="1A1A2E"/>
          <w:sz w:val="22"/>
        </w:rPr>
        <w:t>Zava Manufacturing Nilai: 18.8% -&gt; target &lt;15%</w:t>
      </w:r>
    </w:p>
    <w:p>
      <w:pPr>
        <w:spacing w:after="100"/>
      </w:pPr>
      <w:r>
        <w:rPr>
          <w:color w:val="1A1A2E"/>
          <w:sz w:val="21"/>
        </w:rPr>
        <w:t>Resolve OEE crisis and plant instability first; communicate capex commitment; OEE recovery performance bonus; upskilling in predictive maintenance.</w:t>
      </w:r>
    </w:p>
    <w:p>
      <w:pPr>
        <w:spacing w:before="200" w:after="80"/>
      </w:pPr>
      <w:r>
        <w:rPr>
          <w:b/>
          <w:color w:val="00878A"/>
          <w:sz w:val="26"/>
        </w:rPr>
        <w:t>6.2 Digital &amp; AI Capability Building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120 AI Champions across 11 divisions -- certified by Microsoft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Mandatory 8-hour M365 Copilot training for all 15,000 knowledge workers by Q3 FY2025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5,000 managers complete Power BI + Fabric fundamentals by FY2026</w:t>
      </w:r>
    </w:p>
    <w:p>
      <w:pPr>
        <w:pStyle w:val="ListBullet"/>
        <w:spacing w:after="60"/>
        <w:ind w:left="360"/>
      </w:pPr>
      <w:r>
        <w:rPr>
          <w:color w:val="1A1A2E"/>
          <w:sz w:val="21"/>
        </w:rPr>
        <w:t>All C6 and above complete 2-day AI Strategy for Leaders programme</w:t>
      </w:r>
    </w:p>
    <w:p>
      <w:pPr>
        <w:jc w:val="center"/>
      </w:pPr>
      <w:r>
        <w:rPr>
          <w:color w:val="6B7280"/>
          <w:sz w:val="18"/>
        </w:rPr>
        <w:t>Zava Group Holdings Berhad | ZAVA FORWARD 2030 | Approved Board 15 Dec 2024 | CONFIDENTIAL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