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3A5F"/>
          <w:sz w:val="44"/>
        </w:rPr>
        <w:t>Zava Healthcare – ASEAN Acquisition Evaluation Framework</w:t>
      </w:r>
    </w:p>
    <w:p>
      <w:pPr>
        <w:jc w:val="center"/>
      </w:pPr>
      <w:r>
        <w:rPr>
          <w:color w:val="6B7280"/>
          <w:sz w:val="22"/>
        </w:rPr>
        <w:t>M&amp;A Due Diligence Framework | FY2026 ASEAN Healthcare Expansion Programme</w:t>
      </w:r>
    </w:p>
    <w:p/>
    <w:p>
      <w:pPr>
        <w:spacing w:before="240" w:after="80"/>
      </w:pPr>
      <w:r>
        <w:rPr>
          <w:b/>
          <w:color w:val="1E3A5F"/>
          <w:sz w:val="32"/>
        </w:rPr>
        <w:t>1. Strategic Context</w:t>
      </w:r>
    </w:p>
    <w:p>
      <w:pPr>
        <w:spacing w:after="60"/>
        <w:ind w:left="0"/>
      </w:pPr>
      <w:r>
        <w:rPr>
          <w:color w:val="374151"/>
          <w:sz w:val="21"/>
        </w:rPr>
        <w:t>Zava Group's FY2025–2028 Strategic Plan (approved by the Board in January 2025) authorises Zava Healthcare to deploy MYR 2.0B in strategic acquisitions across ASEAN over the three-year horizon. The programme targets private hospital operators and specialist clinic networks in Malaysia, Thailand, Indonesia, Vietnam, and the Philippines.</w:t>
      </w:r>
    </w:p>
    <w:p>
      <w:pPr>
        <w:spacing w:after="60"/>
        <w:ind w:left="0"/>
      </w:pPr>
      <w:r>
        <w:rPr>
          <w:color w:val="374151"/>
          <w:sz w:val="21"/>
        </w:rPr>
        <w:t>The ASEAN Healthcare M&amp;A Programme has identified four shortlisted targets for evaluation:</w:t>
      </w:r>
    </w:p>
    <w:p>
      <w:pPr>
        <w:pStyle w:val="ListBullet"/>
        <w:ind w:left="283"/>
      </w:pPr>
      <w:r>
        <w:rPr>
          <w:color w:val="374151"/>
          <w:sz w:val="21"/>
        </w:rPr>
        <w:t>Target A — PrimeCare Holdings Sdn Bhd (Malaysia)</w:t>
      </w:r>
    </w:p>
    <w:p>
      <w:pPr>
        <w:pStyle w:val="ListBullet"/>
        <w:ind w:left="283"/>
      </w:pPr>
      <w:r>
        <w:rPr>
          <w:color w:val="374151"/>
          <w:sz w:val="21"/>
        </w:rPr>
        <w:t>Target B — IndoMed Group PT (Indonesia)</w:t>
      </w:r>
    </w:p>
    <w:p>
      <w:pPr>
        <w:pStyle w:val="ListBullet"/>
        <w:ind w:left="283"/>
      </w:pPr>
      <w:r>
        <w:rPr>
          <w:color w:val="374151"/>
          <w:sz w:val="21"/>
        </w:rPr>
        <w:t>Target C — ThaiMed Group Co., Ltd. (Thailand)</w:t>
      </w:r>
    </w:p>
    <w:p>
      <w:pPr>
        <w:pStyle w:val="ListBullet"/>
        <w:ind w:left="283"/>
      </w:pPr>
      <w:r>
        <w:rPr>
          <w:color w:val="374151"/>
          <w:sz w:val="21"/>
        </w:rPr>
        <w:t>Target D — VietHealth Network JSC (Vietnam)</w:t>
      </w:r>
    </w:p>
    <w:p>
      <w:pPr>
        <w:spacing w:after="60"/>
        <w:ind w:left="0"/>
      </w:pPr>
      <w:r>
        <w:rPr>
          <w:color w:val="374151"/>
          <w:sz w:val="21"/>
        </w:rPr>
        <w:t>This framework defines the evaluation criteria, scoring methodology, and due diligence requirements that will be applied uniformly across all four targets. All evaluations must be completed and submitted to the Group M&amp;A Committee by 30 June 2026.</w:t>
      </w:r>
    </w:p>
    <w:p>
      <w:pPr>
        <w:spacing w:before="160" w:after="40"/>
      </w:pPr>
      <w:r>
        <w:rPr>
          <w:b/>
          <w:color w:val="2D6A9F"/>
          <w:sz w:val="26"/>
        </w:rPr>
        <w:t>1.1 Acquisition Objectives</w:t>
      </w:r>
    </w:p>
    <w:p>
      <w:pPr>
        <w:pStyle w:val="ListBullet"/>
        <w:ind w:left="283"/>
      </w:pPr>
      <w:r>
        <w:rPr>
          <w:color w:val="374151"/>
          <w:sz w:val="21"/>
        </w:rPr>
        <w:t>Establish Zava Healthcare as the leading private hospital operator across ASEAN within 5 years</w:t>
      </w:r>
    </w:p>
    <w:p>
      <w:pPr>
        <w:pStyle w:val="ListBullet"/>
        <w:ind w:left="283"/>
      </w:pPr>
      <w:r>
        <w:rPr>
          <w:color w:val="374151"/>
          <w:sz w:val="21"/>
        </w:rPr>
        <w:t>Achieve minimum MYR 50M annual synergy realisation across the ASEAN portfolio by FY2029</w:t>
      </w:r>
    </w:p>
    <w:p>
      <w:pPr>
        <w:pStyle w:val="ListBullet"/>
        <w:ind w:left="283"/>
      </w:pPr>
      <w:r>
        <w:rPr>
          <w:color w:val="374151"/>
          <w:sz w:val="21"/>
        </w:rPr>
        <w:t>Deploy Zava Health+ digital platform across all acquired entities within 18 months of each close</w:t>
      </w:r>
    </w:p>
    <w:p>
      <w:pPr>
        <w:pStyle w:val="ListBullet"/>
        <w:ind w:left="283"/>
      </w:pPr>
      <w:r>
        <w:rPr>
          <w:color w:val="374151"/>
          <w:sz w:val="21"/>
        </w:rPr>
        <w:t>Maintain Group Net Debt/EBITDA below 3.5x at all times</w:t>
      </w:r>
    </w:p>
    <w:p>
      <w:pPr>
        <w:pStyle w:val="ListBullet"/>
        <w:ind w:left="283"/>
      </w:pPr>
      <w:r>
        <w:rPr>
          <w:color w:val="374151"/>
          <w:sz w:val="21"/>
        </w:rPr>
        <w:t>Target minimum equity IRR of 9% (base case) with 15%+ in the upside scenario</w:t>
      </w:r>
    </w:p>
    <w:p>
      <w:pPr>
        <w:spacing w:before="160" w:after="40"/>
      </w:pPr>
      <w:r>
        <w:rPr>
          <w:b/>
          <w:color w:val="2D6A9F"/>
          <w:sz w:val="26"/>
        </w:rPr>
        <w:t>1.2 Target Profile Requirements (Minimum Threshold)</w:t>
      </w:r>
    </w:p>
    <w:p>
      <w:pPr>
        <w:pStyle w:val="ListBullet"/>
        <w:ind w:left="283"/>
      </w:pPr>
      <w:r>
        <w:rPr>
          <w:color w:val="374151"/>
          <w:sz w:val="21"/>
        </w:rPr>
        <w:t>Located in a Zava-designated ASEAN expansion market</w:t>
      </w:r>
    </w:p>
    <w:p>
      <w:pPr>
        <w:pStyle w:val="ListBullet"/>
        <w:ind w:left="283"/>
      </w:pPr>
      <w:r>
        <w:rPr>
          <w:color w:val="374151"/>
          <w:sz w:val="21"/>
        </w:rPr>
        <w:t>Minimum 500 licensed beds OR 5 or more operational facilities</w:t>
      </w:r>
    </w:p>
    <w:p>
      <w:pPr>
        <w:pStyle w:val="ListBullet"/>
        <w:ind w:left="283"/>
      </w:pPr>
      <w:r>
        <w:rPr>
          <w:color w:val="374151"/>
          <w:sz w:val="21"/>
        </w:rPr>
        <w:t>Active operations in at least one of: Oncology, Cardiology, Orthopaedics</w:t>
      </w:r>
    </w:p>
    <w:p>
      <w:pPr>
        <w:pStyle w:val="ListBullet"/>
        <w:ind w:left="283"/>
      </w:pPr>
      <w:r>
        <w:rPr>
          <w:color w:val="374151"/>
          <w:sz w:val="21"/>
        </w:rPr>
        <w:t>JCI or equivalent international accreditation (or credible pathway with timeline)</w:t>
      </w:r>
    </w:p>
    <w:p>
      <w:pPr>
        <w:pStyle w:val="ListBullet"/>
        <w:ind w:left="283"/>
      </w:pPr>
      <w:r>
        <w:rPr>
          <w:color w:val="374151"/>
          <w:sz w:val="21"/>
        </w:rPr>
        <w:t>No material regulatory investigation or enforcement action within prior 3 years</w:t>
      </w:r>
    </w:p>
    <w:p>
      <w:pPr>
        <w:pStyle w:val="ListBullet"/>
        <w:ind w:left="283"/>
      </w:pPr>
      <w:r>
        <w:rPr>
          <w:color w:val="374151"/>
          <w:sz w:val="21"/>
        </w:rPr>
        <w:t>Minimum 2 years Big 4 audited financial statements available</w:t>
      </w:r>
    </w:p>
    <w:p>
      <w:pPr>
        <w:spacing w:before="240" w:after="80"/>
      </w:pPr>
      <w:r>
        <w:rPr>
          <w:b/>
          <w:color w:val="1E3A5F"/>
          <w:sz w:val="32"/>
        </w:rPr>
        <w:t>2. Evaluation Scoring Framework</w:t>
      </w:r>
    </w:p>
    <w:p>
      <w:pPr>
        <w:spacing w:after="60"/>
        <w:ind w:left="0"/>
      </w:pPr>
      <w:r>
        <w:rPr>
          <w:color w:val="374151"/>
          <w:sz w:val="21"/>
        </w:rPr>
        <w:t>Each target is assessed across seven weighted categories for a maximum total score of 1,000 points. Category scores are determined by the M&amp;A Advisory team in consultation with the relevant functional work stream leads.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E3A5F" w:val="clear"/>
          </w:tcPr>
          <w:p>
            <w:r>
              <w:rPr>
                <w:b/>
                <w:color w:val="FFFFFF"/>
                <w:sz w:val="20"/>
              </w:rPr>
              <w:t>Category</w:t>
            </w:r>
          </w:p>
        </w:tc>
        <w:tc>
          <w:tcPr>
            <w:tcW w:type="dxa" w:w="2160"/>
            <w:shd w:fill="1E3A5F" w:val="clear"/>
          </w:tcPr>
          <w:p>
            <w:r>
              <w:rPr>
                <w:b/>
                <w:color w:val="FFFFFF"/>
                <w:sz w:val="20"/>
              </w:rPr>
              <w:t>Weight</w:t>
            </w:r>
          </w:p>
        </w:tc>
        <w:tc>
          <w:tcPr>
            <w:tcW w:type="dxa" w:w="2160"/>
            <w:shd w:fill="1E3A5F" w:val="clear"/>
          </w:tcPr>
          <w:p>
            <w:r>
              <w:rPr>
                <w:b/>
                <w:color w:val="FFFFFF"/>
                <w:sz w:val="20"/>
              </w:rPr>
              <w:t>Max Points</w:t>
            </w:r>
          </w:p>
        </w:tc>
        <w:tc>
          <w:tcPr>
            <w:tcW w:type="dxa" w:w="2160"/>
            <w:shd w:fill="1E3A5F" w:val="clear"/>
          </w:tcPr>
          <w:p>
            <w:r>
              <w:rPr>
                <w:b/>
                <w:color w:val="FFFFFF"/>
                <w:sz w:val="20"/>
              </w:rPr>
              <w:t>Work Stream Lead</w:t>
            </w:r>
          </w:p>
        </w:tc>
      </w:tr>
      <w:tr>
        <w:tc>
          <w:tcPr>
            <w:tcW w:type="dxa" w:w="2160"/>
          </w:tcPr>
          <w:p>
            <w:r>
              <w:rPr>
                <w:sz w:val="20"/>
              </w:rPr>
              <w:t>Financial Performance &amp; Quality of Earnings</w:t>
            </w:r>
          </w:p>
        </w:tc>
        <w:tc>
          <w:tcPr>
            <w:tcW w:type="dxa" w:w="2160"/>
          </w:tcPr>
          <w:p>
            <w:r>
              <w:rPr>
                <w:sz w:val="20"/>
              </w:rPr>
              <w:t>20%</w:t>
            </w:r>
          </w:p>
        </w:tc>
        <w:tc>
          <w:tcPr>
            <w:tcW w:type="dxa" w:w="2160"/>
          </w:tcPr>
          <w:p>
            <w:r>
              <w:rPr>
                <w:sz w:val="20"/>
              </w:rPr>
              <w:t>200</w:t>
            </w:r>
          </w:p>
        </w:tc>
        <w:tc>
          <w:tcPr>
            <w:tcW w:type="dxa" w:w="2160"/>
          </w:tcPr>
          <w:p>
            <w:r>
              <w:rPr>
                <w:sz w:val="20"/>
              </w:rPr>
              <w:t>Group CFO / EY Advisory</w:t>
            </w:r>
          </w:p>
        </w:tc>
      </w:tr>
      <w:tr>
        <w:tc>
          <w:tcPr>
            <w:tcW w:type="dxa" w:w="2160"/>
          </w:tcPr>
          <w:p>
            <w:r>
              <w:rPr>
                <w:sz w:val="20"/>
              </w:rPr>
              <w:t>Strategic Fit &amp; Market Position</w:t>
            </w:r>
          </w:p>
        </w:tc>
        <w:tc>
          <w:tcPr>
            <w:tcW w:type="dxa" w:w="2160"/>
          </w:tcPr>
          <w:p>
            <w:r>
              <w:rPr>
                <w:sz w:val="20"/>
              </w:rPr>
              <w:t>15%</w:t>
            </w:r>
          </w:p>
        </w:tc>
        <w:tc>
          <w:tcPr>
            <w:tcW w:type="dxa" w:w="2160"/>
          </w:tcPr>
          <w:p>
            <w:r>
              <w:rPr>
                <w:sz w:val="20"/>
              </w:rPr>
              <w:t>150</w:t>
            </w:r>
          </w:p>
        </w:tc>
        <w:tc>
          <w:tcPr>
            <w:tcW w:type="dxa" w:w="2160"/>
          </w:tcPr>
          <w:p>
            <w:r>
              <w:rPr>
                <w:sz w:val="20"/>
              </w:rPr>
              <w:t>Group Strategy</w:t>
            </w:r>
          </w:p>
        </w:tc>
      </w:tr>
      <w:tr>
        <w:tc>
          <w:tcPr>
            <w:tcW w:type="dxa" w:w="2160"/>
          </w:tcPr>
          <w:p>
            <w:r>
              <w:rPr>
                <w:sz w:val="20"/>
              </w:rPr>
              <w:t>Operational Quality &amp; Clinical Standards</w:t>
            </w:r>
          </w:p>
        </w:tc>
        <w:tc>
          <w:tcPr>
            <w:tcW w:type="dxa" w:w="2160"/>
          </w:tcPr>
          <w:p>
            <w:r>
              <w:rPr>
                <w:sz w:val="20"/>
              </w:rPr>
              <w:t>15%</w:t>
            </w:r>
          </w:p>
        </w:tc>
        <w:tc>
          <w:tcPr>
            <w:tcW w:type="dxa" w:w="2160"/>
          </w:tcPr>
          <w:p>
            <w:r>
              <w:rPr>
                <w:sz w:val="20"/>
              </w:rPr>
              <w:t>150</w:t>
            </w:r>
          </w:p>
        </w:tc>
        <w:tc>
          <w:tcPr>
            <w:tcW w:type="dxa" w:w="2160"/>
          </w:tcPr>
          <w:p>
            <w:r>
              <w:rPr>
                <w:sz w:val="20"/>
              </w:rPr>
              <w:t>Zava Healthcare COO</w:t>
            </w:r>
          </w:p>
        </w:tc>
      </w:tr>
      <w:tr>
        <w:tc>
          <w:tcPr>
            <w:tcW w:type="dxa" w:w="2160"/>
          </w:tcPr>
          <w:p>
            <w:r>
              <w:rPr>
                <w:sz w:val="20"/>
              </w:rPr>
              <w:t>Management Team &amp; Talent Retention</w:t>
            </w:r>
          </w:p>
        </w:tc>
        <w:tc>
          <w:tcPr>
            <w:tcW w:type="dxa" w:w="2160"/>
          </w:tcPr>
          <w:p>
            <w:r>
              <w:rPr>
                <w:sz w:val="20"/>
              </w:rPr>
              <w:t>10%</w:t>
            </w:r>
          </w:p>
        </w:tc>
        <w:tc>
          <w:tcPr>
            <w:tcW w:type="dxa" w:w="2160"/>
          </w:tcPr>
          <w:p>
            <w:r>
              <w:rPr>
                <w:sz w:val="20"/>
              </w:rPr>
              <w:t>100</w:t>
            </w:r>
          </w:p>
        </w:tc>
        <w:tc>
          <w:tcPr>
            <w:tcW w:type="dxa" w:w="2160"/>
          </w:tcPr>
          <w:p>
            <w:r>
              <w:rPr>
                <w:sz w:val="20"/>
              </w:rPr>
              <w:t>Group CHRO</w:t>
            </w:r>
          </w:p>
        </w:tc>
      </w:tr>
      <w:tr>
        <w:tc>
          <w:tcPr>
            <w:tcW w:type="dxa" w:w="2160"/>
          </w:tcPr>
          <w:p>
            <w:r>
              <w:rPr>
                <w:sz w:val="20"/>
              </w:rPr>
              <w:t>Regulatory &amp; Compliance</w:t>
            </w:r>
          </w:p>
        </w:tc>
        <w:tc>
          <w:tcPr>
            <w:tcW w:type="dxa" w:w="2160"/>
          </w:tcPr>
          <w:p>
            <w:r>
              <w:rPr>
                <w:sz w:val="20"/>
              </w:rPr>
              <w:t>15%</w:t>
            </w:r>
          </w:p>
        </w:tc>
        <w:tc>
          <w:tcPr>
            <w:tcW w:type="dxa" w:w="2160"/>
          </w:tcPr>
          <w:p>
            <w:r>
              <w:rPr>
                <w:sz w:val="20"/>
              </w:rPr>
              <w:t>150</w:t>
            </w:r>
          </w:p>
        </w:tc>
        <w:tc>
          <w:tcPr>
            <w:tcW w:type="dxa" w:w="2160"/>
          </w:tcPr>
          <w:p>
            <w:r>
              <w:rPr>
                <w:sz w:val="20"/>
              </w:rPr>
              <w:t>Group General Counsel</w:t>
            </w:r>
          </w:p>
        </w:tc>
      </w:tr>
      <w:tr>
        <w:tc>
          <w:tcPr>
            <w:tcW w:type="dxa" w:w="2160"/>
          </w:tcPr>
          <w:p>
            <w:r>
              <w:rPr>
                <w:sz w:val="20"/>
              </w:rPr>
              <w:t>Integration Readiness (IT, HR, Finance)</w:t>
            </w:r>
          </w:p>
        </w:tc>
        <w:tc>
          <w:tcPr>
            <w:tcW w:type="dxa" w:w="2160"/>
          </w:tcPr>
          <w:p>
            <w:r>
              <w:rPr>
                <w:sz w:val="20"/>
              </w:rPr>
              <w:t>10%</w:t>
            </w:r>
          </w:p>
        </w:tc>
        <w:tc>
          <w:tcPr>
            <w:tcW w:type="dxa" w:w="2160"/>
          </w:tcPr>
          <w:p>
            <w:r>
              <w:rPr>
                <w:sz w:val="20"/>
              </w:rPr>
              <w:t>100</w:t>
            </w:r>
          </w:p>
        </w:tc>
        <w:tc>
          <w:tcPr>
            <w:tcW w:type="dxa" w:w="2160"/>
          </w:tcPr>
          <w:p>
            <w:r>
              <w:rPr>
                <w:sz w:val="20"/>
              </w:rPr>
              <w:t>Group CTO / Integration PMO</w:t>
            </w:r>
          </w:p>
        </w:tc>
      </w:tr>
      <w:tr>
        <w:tc>
          <w:tcPr>
            <w:tcW w:type="dxa" w:w="2160"/>
          </w:tcPr>
          <w:p>
            <w:r>
              <w:rPr>
                <w:sz w:val="20"/>
              </w:rPr>
              <w:t>Deal Terms &amp; Value Creation</w:t>
            </w:r>
          </w:p>
        </w:tc>
        <w:tc>
          <w:tcPr>
            <w:tcW w:type="dxa" w:w="2160"/>
          </w:tcPr>
          <w:p>
            <w:r>
              <w:rPr>
                <w:sz w:val="20"/>
              </w:rPr>
              <w:t>15%</w:t>
            </w:r>
          </w:p>
        </w:tc>
        <w:tc>
          <w:tcPr>
            <w:tcW w:type="dxa" w:w="2160"/>
          </w:tcPr>
          <w:p>
            <w:r>
              <w:rPr>
                <w:sz w:val="20"/>
              </w:rPr>
              <w:t>150</w:t>
            </w:r>
          </w:p>
        </w:tc>
        <w:tc>
          <w:tcPr>
            <w:tcW w:type="dxa" w:w="2160"/>
          </w:tcPr>
          <w:p>
            <w:r>
              <w:rPr>
                <w:sz w:val="20"/>
              </w:rPr>
              <w:t>Group CFO / M&amp;A Advisory</w:t>
            </w:r>
          </w:p>
        </w:tc>
      </w:tr>
      <w:tr>
        <w:tc>
          <w:tcPr>
            <w:tcW w:type="dxa" w:w="2160"/>
            <w:shd w:fill="F3F4F6" w:val="clear"/>
          </w:tcPr>
          <w:p>
            <w:r>
              <w:rPr>
                <w:b/>
                <w:sz w:val="20"/>
              </w:rPr>
              <w:t>TOTAL</w:t>
            </w:r>
          </w:p>
        </w:tc>
        <w:tc>
          <w:tcPr>
            <w:tcW w:type="dxa" w:w="2160"/>
            <w:shd w:fill="F3F4F6" w:val="clear"/>
          </w:tcPr>
          <w:p>
            <w:r>
              <w:rPr>
                <w:b/>
                <w:sz w:val="20"/>
              </w:rPr>
              <w:t>100%</w:t>
            </w:r>
          </w:p>
        </w:tc>
        <w:tc>
          <w:tcPr>
            <w:tcW w:type="dxa" w:w="2160"/>
            <w:shd w:fill="F3F4F6" w:val="clear"/>
          </w:tcPr>
          <w:p>
            <w:r>
              <w:rPr>
                <w:b/>
                <w:sz w:val="20"/>
              </w:rPr>
              <w:t>1,000</w:t>
            </w:r>
          </w:p>
        </w:tc>
        <w:tc>
          <w:tcPr>
            <w:tcW w:type="dxa" w:w="2160"/>
            <w:shd w:fill="F3F4F6" w:val="clear"/>
          </w:tcPr>
          <w:p>
            <w:r>
              <w:rPr>
                <w:b/>
                <w:sz w:val="20"/>
              </w:rPr>
            </w:r>
          </w:p>
        </w:tc>
      </w:tr>
    </w:tbl>
    <w:p/>
    <w:p>
      <w:pPr>
        <w:spacing w:before="160" w:after="40"/>
      </w:pPr>
      <w:r>
        <w:rPr>
          <w:b/>
          <w:color w:val="2D6A9F"/>
          <w:sz w:val="26"/>
        </w:rPr>
        <w:t>2.1 Category 1 — Financial Performance &amp; Quality of Earnings (200 pts)</w:t>
      </w:r>
    </w:p>
    <w:p>
      <w:pPr>
        <w:pStyle w:val="ListBullet"/>
        <w:ind w:left="283"/>
      </w:pPr>
      <w:r>
        <w:rPr>
          <w:color w:val="374151"/>
          <w:sz w:val="21"/>
        </w:rPr>
        <w:t>3 years Big 4 audited financials available and clean — Mandatory Gate. 0 / 50 pts</w:t>
      </w:r>
    </w:p>
    <w:p>
      <w:pPr>
        <w:pStyle w:val="ListBullet"/>
        <w:ind w:left="283"/>
      </w:pPr>
      <w:r>
        <w:rPr>
          <w:color w:val="374151"/>
          <w:sz w:val="21"/>
        </w:rPr>
        <w:t>Reported EBITDA verified and restated for RPTs, management fees, one-offs — 0–50 pts. Score based on restatement quantum and transparency</w:t>
      </w:r>
    </w:p>
    <w:p>
      <w:pPr>
        <w:pStyle w:val="ListBullet"/>
        <w:ind w:left="283"/>
      </w:pPr>
      <w:r>
        <w:rPr>
          <w:color w:val="374151"/>
          <w:sz w:val="21"/>
        </w:rPr>
        <w:t>Revenue CAGR ≥8% (FY2023–FY2025) — 0–30 pts. Full 30 if CAGR ≥12%; partial for 8–12%; 0 if &lt;8%</w:t>
      </w:r>
    </w:p>
    <w:p>
      <w:pPr>
        <w:pStyle w:val="ListBullet"/>
        <w:ind w:left="283"/>
      </w:pPr>
      <w:r>
        <w:rPr>
          <w:color w:val="374151"/>
          <w:sz w:val="21"/>
        </w:rPr>
        <w:t>EBITDA margin ≥18% — 0–30 pts. Full 30 if ≥22%; partial for 18–22%; 0 if &lt;18%</w:t>
      </w:r>
    </w:p>
    <w:p>
      <w:pPr>
        <w:pStyle w:val="ListBullet"/>
        <w:ind w:left="283"/>
      </w:pPr>
      <w:r>
        <w:rPr>
          <w:color w:val="374151"/>
          <w:sz w:val="21"/>
        </w:rPr>
        <w:t>Net Debt/EBITDA &lt;3.0x at close — Mandatory Gate. Fail if &gt;4.5x; flag if 3.0–4.5x</w:t>
      </w:r>
    </w:p>
    <w:p>
      <w:pPr>
        <w:pStyle w:val="ListBullet"/>
        <w:ind w:left="283"/>
      </w:pPr>
      <w:r>
        <w:rPr>
          <w:color w:val="374151"/>
          <w:sz w:val="21"/>
        </w:rPr>
        <w:t>Free cash flow positive (trailing 12 months) — 0–20 pts. Full 20 if FCF positive and growing</w:t>
      </w:r>
    </w:p>
    <w:p>
      <w:pPr>
        <w:pStyle w:val="ListBullet"/>
        <w:ind w:left="283"/>
      </w:pPr>
      <w:r>
        <w:rPr>
          <w:color w:val="374151"/>
          <w:sz w:val="21"/>
        </w:rPr>
        <w:t>DSO &lt;45 days — 0–20 pts. Full 20 if &lt;30 days; partial 10 if 30–45 days</w:t>
      </w:r>
    </w:p>
    <w:p>
      <w:pPr>
        <w:spacing w:before="160" w:after="40"/>
      </w:pPr>
      <w:r>
        <w:rPr>
          <w:b/>
          <w:color w:val="2D6A9F"/>
          <w:sz w:val="26"/>
        </w:rPr>
        <w:t>2.2 Category 2 — Strategic Fit &amp; Market Position (150 pts)</w:t>
      </w:r>
    </w:p>
    <w:p>
      <w:pPr>
        <w:pStyle w:val="ListBullet"/>
        <w:ind w:left="283"/>
      </w:pPr>
      <w:r>
        <w:rPr>
          <w:color w:val="374151"/>
          <w:sz w:val="21"/>
        </w:rPr>
        <w:t>Specialist services alignment with Zava CoE (Oncology, Cardiology, Ortho) — 0–50 pts</w:t>
      </w:r>
    </w:p>
    <w:p>
      <w:pPr>
        <w:pStyle w:val="ListBullet"/>
        <w:ind w:left="283"/>
      </w:pPr>
      <w:r>
        <w:rPr>
          <w:color w:val="374151"/>
          <w:sz w:val="21"/>
        </w:rPr>
        <w:t>Market position: No. 1 or No. 2 in catchment area — 0–30 pts</w:t>
      </w:r>
    </w:p>
    <w:p>
      <w:pPr>
        <w:pStyle w:val="ListBullet"/>
        <w:ind w:left="283"/>
      </w:pPr>
      <w:r>
        <w:rPr>
          <w:color w:val="374151"/>
          <w:sz w:val="21"/>
        </w:rPr>
        <w:t>Medical tourism revenue stream (existing or credible pipeline) — 0–30 pts</w:t>
      </w:r>
    </w:p>
    <w:p>
      <w:pPr>
        <w:pStyle w:val="ListBullet"/>
        <w:ind w:left="283"/>
      </w:pPr>
      <w:r>
        <w:rPr>
          <w:color w:val="374151"/>
          <w:sz w:val="21"/>
        </w:rPr>
        <w:t>Geographic footprint in Zava priority markets — 0–20 pts</w:t>
      </w:r>
    </w:p>
    <w:p>
      <w:pPr>
        <w:pStyle w:val="ListBullet"/>
        <w:ind w:left="283"/>
      </w:pPr>
      <w:r>
        <w:rPr>
          <w:color w:val="374151"/>
          <w:sz w:val="21"/>
        </w:rPr>
        <w:t>Commitment to adopt Zava Health+ within 18 months — 0–20 pts</w:t>
      </w:r>
    </w:p>
    <w:p>
      <w:pPr>
        <w:spacing w:before="160" w:after="40"/>
      </w:pPr>
      <w:r>
        <w:rPr>
          <w:b/>
          <w:color w:val="2D6A9F"/>
          <w:sz w:val="26"/>
        </w:rPr>
        <w:t>2.3 Category 3 — Operational Quality &amp; Clinical Standards (150 pts)</w:t>
      </w:r>
    </w:p>
    <w:p>
      <w:pPr>
        <w:pStyle w:val="ListBullet"/>
        <w:ind w:left="283"/>
      </w:pPr>
      <w:r>
        <w:rPr>
          <w:color w:val="374151"/>
          <w:sz w:val="21"/>
        </w:rPr>
        <w:t>JCI or equivalent international accreditation (all hospitals) — Mandatory Gate / 0–50 pts</w:t>
      </w:r>
    </w:p>
    <w:p>
      <w:pPr>
        <w:pStyle w:val="ListBullet"/>
        <w:ind w:left="283"/>
      </w:pPr>
      <w:r>
        <w:rPr>
          <w:color w:val="374151"/>
          <w:sz w:val="21"/>
        </w:rPr>
        <w:t>Bed occupancy rate ≥65% (all inpatient facilities) — 0–30 pts</w:t>
      </w:r>
    </w:p>
    <w:p>
      <w:pPr>
        <w:pStyle w:val="ListBullet"/>
        <w:ind w:left="283"/>
      </w:pPr>
      <w:r>
        <w:rPr>
          <w:color w:val="374151"/>
          <w:sz w:val="21"/>
        </w:rPr>
        <w:t>Patient NPS ≥60 — 0–30 pts</w:t>
      </w:r>
    </w:p>
    <w:p>
      <w:pPr>
        <w:pStyle w:val="ListBullet"/>
        <w:ind w:left="283"/>
      </w:pPr>
      <w:r>
        <w:rPr>
          <w:color w:val="374151"/>
          <w:sz w:val="21"/>
        </w:rPr>
        <w:t>Physician retention ≥85% — 0–20 pts</w:t>
      </w:r>
    </w:p>
    <w:p>
      <w:pPr>
        <w:pStyle w:val="ListBullet"/>
        <w:ind w:left="283"/>
      </w:pPr>
      <w:r>
        <w:rPr>
          <w:color w:val="374151"/>
          <w:sz w:val="21"/>
        </w:rPr>
        <w:t>IT system compatibility with Zava Health+ — 0–20 pts</w:t>
      </w:r>
    </w:p>
    <w:p>
      <w:pPr>
        <w:spacing w:before="160" w:after="40"/>
      </w:pPr>
      <w:r>
        <w:rPr>
          <w:b/>
          <w:color w:val="2D6A9F"/>
          <w:sz w:val="26"/>
        </w:rPr>
        <w:t>2.4 Category 4 — Management Team &amp; Talent Retention (100 pts)</w:t>
      </w:r>
    </w:p>
    <w:p>
      <w:pPr>
        <w:pStyle w:val="ListBullet"/>
        <w:ind w:left="283"/>
      </w:pPr>
      <w:r>
        <w:rPr>
          <w:color w:val="374151"/>
          <w:sz w:val="21"/>
        </w:rPr>
        <w:t>C-suite depth and tenure ≥3 years — 0–40 pts</w:t>
      </w:r>
    </w:p>
    <w:p>
      <w:pPr>
        <w:pStyle w:val="ListBullet"/>
        <w:ind w:left="283"/>
      </w:pPr>
      <w:r>
        <w:rPr>
          <w:color w:val="374151"/>
          <w:sz w:val="21"/>
        </w:rPr>
        <w:t>Documented succession plan for CEO and Clinical Director — 0–30 pts</w:t>
      </w:r>
    </w:p>
    <w:p>
      <w:pPr>
        <w:pStyle w:val="ListBullet"/>
        <w:ind w:left="283"/>
      </w:pPr>
      <w:r>
        <w:rPr>
          <w:color w:val="374151"/>
          <w:sz w:val="21"/>
        </w:rPr>
        <w:t>Key person dependency risk (penalised if single-founder critical path) — 0–30 pts</w:t>
      </w:r>
    </w:p>
    <w:p>
      <w:pPr>
        <w:spacing w:before="160" w:after="40"/>
      </w:pPr>
      <w:r>
        <w:rPr>
          <w:b/>
          <w:color w:val="2D6A9F"/>
          <w:sz w:val="26"/>
        </w:rPr>
        <w:t>2.5 Category 5 — Regulatory &amp; Compliance (150 pts)</w:t>
      </w:r>
    </w:p>
    <w:p>
      <w:pPr>
        <w:pStyle w:val="ListBullet"/>
        <w:ind w:left="283"/>
      </w:pPr>
      <w:r>
        <w:rPr>
          <w:color w:val="374151"/>
          <w:sz w:val="21"/>
        </w:rPr>
        <w:t>All facility licences valid &gt;2 years at close — Mandatory Gate</w:t>
      </w:r>
    </w:p>
    <w:p>
      <w:pPr>
        <w:pStyle w:val="ListBullet"/>
        <w:ind w:left="283"/>
      </w:pPr>
      <w:r>
        <w:rPr>
          <w:color w:val="374151"/>
          <w:sz w:val="21"/>
        </w:rPr>
        <w:t>No pending regulatory investigation or enforcement action — Mandatory Gate</w:t>
      </w:r>
    </w:p>
    <w:p>
      <w:pPr>
        <w:pStyle w:val="ListBullet"/>
        <w:ind w:left="283"/>
      </w:pPr>
      <w:r>
        <w:rPr>
          <w:color w:val="374151"/>
          <w:sz w:val="21"/>
        </w:rPr>
        <w:t>Foreign ownership structure legally compliant — Mandatory Gate</w:t>
      </w:r>
    </w:p>
    <w:p>
      <w:pPr>
        <w:pStyle w:val="ListBullet"/>
        <w:ind w:left="283"/>
      </w:pPr>
      <w:r>
        <w:rPr>
          <w:color w:val="374151"/>
          <w:sz w:val="21"/>
        </w:rPr>
        <w:t>Data privacy compliance (local PDPA/PDPD/UU PDP equivalent) — 0–50 pts</w:t>
      </w:r>
    </w:p>
    <w:p>
      <w:pPr>
        <w:pStyle w:val="ListBullet"/>
        <w:ind w:left="283"/>
      </w:pPr>
      <w:r>
        <w:rPr>
          <w:color w:val="374151"/>
          <w:sz w:val="21"/>
        </w:rPr>
        <w:t>Anti-bribery and corruption policy (ABAC-compliant) — 0–50 pts</w:t>
      </w:r>
    </w:p>
    <w:p>
      <w:pPr>
        <w:pStyle w:val="ListBullet"/>
        <w:ind w:left="283"/>
      </w:pPr>
      <w:r>
        <w:rPr>
          <w:color w:val="374151"/>
          <w:sz w:val="21"/>
        </w:rPr>
        <w:t>Clinical and environmental waste compliance — 0–50 pts</w:t>
      </w:r>
    </w:p>
    <w:p>
      <w:pPr>
        <w:spacing w:before="160" w:after="40"/>
      </w:pPr>
      <w:r>
        <w:rPr>
          <w:b/>
          <w:color w:val="2D6A9F"/>
          <w:sz w:val="26"/>
        </w:rPr>
        <w:t>2.6 Category 6 — Integration Readiness (100 pts)</w:t>
      </w:r>
    </w:p>
    <w:p>
      <w:pPr>
        <w:pStyle w:val="ListBullet"/>
        <w:ind w:left="283"/>
      </w:pPr>
      <w:r>
        <w:rPr>
          <w:color w:val="374151"/>
          <w:sz w:val="21"/>
        </w:rPr>
        <w:t>HIS/IT migration to Zava Health+ feasible within 18 months — 0–40 pts</w:t>
      </w:r>
    </w:p>
    <w:p>
      <w:pPr>
        <w:pStyle w:val="ListBullet"/>
        <w:ind w:left="283"/>
      </w:pPr>
      <w:r>
        <w:rPr>
          <w:color w:val="374151"/>
          <w:sz w:val="21"/>
        </w:rPr>
        <w:t>HR policies and payroll compatible with Zava Group standards — 0–30 pts</w:t>
      </w:r>
    </w:p>
    <w:p>
      <w:pPr>
        <w:pStyle w:val="ListBullet"/>
        <w:ind w:left="283"/>
      </w:pPr>
      <w:r>
        <w:rPr>
          <w:color w:val="374151"/>
          <w:sz w:val="21"/>
        </w:rPr>
        <w:t>Finance and reporting systems capable of Group consolidation within 6 months — 0–30 pts</w:t>
      </w:r>
    </w:p>
    <w:p>
      <w:pPr>
        <w:spacing w:before="160" w:after="40"/>
      </w:pPr>
      <w:r>
        <w:rPr>
          <w:b/>
          <w:color w:val="2D6A9F"/>
          <w:sz w:val="26"/>
        </w:rPr>
        <w:t>2.7 Category 7 — Deal Terms &amp; Value Creation (150 pts)</w:t>
      </w:r>
    </w:p>
    <w:p>
      <w:pPr>
        <w:pStyle w:val="ListBullet"/>
        <w:ind w:left="283"/>
      </w:pPr>
      <w:r>
        <w:rPr>
          <w:color w:val="374151"/>
          <w:sz w:val="21"/>
        </w:rPr>
        <w:t>EV/EBITDA multiple within Zava's acceptable range (≤11x) — 0–50 pts</w:t>
      </w:r>
    </w:p>
    <w:p>
      <w:pPr>
        <w:pStyle w:val="ListBullet"/>
        <w:ind w:left="283"/>
      </w:pPr>
      <w:r>
        <w:rPr>
          <w:color w:val="374151"/>
          <w:sz w:val="21"/>
        </w:rPr>
        <w:t>Minimum equity IRR ≥9% (base case) — Mandatory Gate / 0–50 pts</w:t>
      </w:r>
    </w:p>
    <w:p>
      <w:pPr>
        <w:pStyle w:val="ListBullet"/>
        <w:ind w:left="283"/>
      </w:pPr>
      <w:r>
        <w:rPr>
          <w:color w:val="374151"/>
          <w:sz w:val="21"/>
        </w:rPr>
        <w:t>Estimated annual synergy ≥MYR 10M — 0–30 pts</w:t>
      </w:r>
    </w:p>
    <w:p>
      <w:pPr>
        <w:pStyle w:val="ListBullet"/>
        <w:ind w:left="283"/>
      </w:pPr>
      <w:r>
        <w:rPr>
          <w:color w:val="374151"/>
          <w:sz w:val="21"/>
        </w:rPr>
        <w:t>Seller flexibility on earn-out or deferred consideration — 0–20 pts</w:t>
      </w:r>
    </w:p>
    <w:p>
      <w:pPr>
        <w:spacing w:before="240" w:after="80"/>
      </w:pPr>
      <w:r>
        <w:rPr>
          <w:b/>
          <w:color w:val="1E3A5F"/>
          <w:sz w:val="32"/>
        </w:rPr>
        <w:t>3. Scoring Tiers and Decision Criteria</w:t>
      </w:r>
    </w:p>
    <w:tbl>
      <w:tblPr>
        <w:tblStyle w:val="TableGrid"/>
        <w:tblW w:type="auto" w:w="0"/>
        <w:tblLook w:firstColumn="1" w:firstRow="1" w:lastColumn="0" w:lastRow="0" w:noHBand="0" w:noVBand="1" w:val="04A0"/>
      </w:tblPr>
      <w:tblGrid>
        <w:gridCol w:w="2880"/>
        <w:gridCol w:w="2880"/>
        <w:gridCol w:w="2880"/>
      </w:tblGrid>
      <w:tr>
        <w:tc>
          <w:tcPr>
            <w:tcW w:type="dxa" w:w="2880"/>
            <w:shd w:fill="1E3A5F" w:val="clear"/>
          </w:tcPr>
          <w:p>
            <w:r>
              <w:rPr>
                <w:b/>
                <w:color w:val="FFFFFF"/>
                <w:sz w:val="20"/>
              </w:rPr>
              <w:t>Score Range</w:t>
            </w:r>
          </w:p>
        </w:tc>
        <w:tc>
          <w:tcPr>
            <w:tcW w:type="dxa" w:w="2880"/>
            <w:shd w:fill="1E3A5F" w:val="clear"/>
          </w:tcPr>
          <w:p>
            <w:r>
              <w:rPr>
                <w:b/>
                <w:color w:val="FFFFFF"/>
                <w:sz w:val="20"/>
              </w:rPr>
              <w:t>Tier</w:t>
            </w:r>
          </w:p>
        </w:tc>
        <w:tc>
          <w:tcPr>
            <w:tcW w:type="dxa" w:w="2880"/>
            <w:shd w:fill="1E3A5F" w:val="clear"/>
          </w:tcPr>
          <w:p>
            <w:r>
              <w:rPr>
                <w:b/>
                <w:color w:val="FFFFFF"/>
                <w:sz w:val="20"/>
              </w:rPr>
              <w:t>Recommended Action</w:t>
            </w:r>
          </w:p>
        </w:tc>
      </w:tr>
      <w:tr>
        <w:tc>
          <w:tcPr>
            <w:tcW w:type="dxa" w:w="2880"/>
          </w:tcPr>
          <w:p>
            <w:r>
              <w:rPr>
                <w:sz w:val="20"/>
              </w:rPr>
              <w:t>850–1,000</w:t>
            </w:r>
          </w:p>
        </w:tc>
        <w:tc>
          <w:tcPr>
            <w:tcW w:type="dxa" w:w="2880"/>
          </w:tcPr>
          <w:p>
            <w:r>
              <w:rPr>
                <w:sz w:val="20"/>
              </w:rPr>
              <w:t>Tier 1 — Preferred</w:t>
            </w:r>
          </w:p>
        </w:tc>
        <w:tc>
          <w:tcPr>
            <w:tcW w:type="dxa" w:w="2880"/>
          </w:tcPr>
          <w:p>
            <w:r>
              <w:rPr>
                <w:sz w:val="20"/>
              </w:rPr>
              <w:t>Proceed to full DD; prioritise exclusivity extension</w:t>
            </w:r>
          </w:p>
        </w:tc>
      </w:tr>
      <w:tr>
        <w:tc>
          <w:tcPr>
            <w:tcW w:type="dxa" w:w="2880"/>
          </w:tcPr>
          <w:p>
            <w:r>
              <w:rPr>
                <w:sz w:val="20"/>
              </w:rPr>
              <w:t>700–849</w:t>
            </w:r>
          </w:p>
        </w:tc>
        <w:tc>
          <w:tcPr>
            <w:tcW w:type="dxa" w:w="2880"/>
          </w:tcPr>
          <w:p>
            <w:r>
              <w:rPr>
                <w:sz w:val="20"/>
              </w:rPr>
              <w:t>Tier 2 — Conditional</w:t>
            </w:r>
          </w:p>
        </w:tc>
        <w:tc>
          <w:tcPr>
            <w:tcW w:type="dxa" w:w="2880"/>
          </w:tcPr>
          <w:p>
            <w:r>
              <w:rPr>
                <w:sz w:val="20"/>
              </w:rPr>
              <w:t>Proceed with conditions; flag open items to M&amp;A Committee</w:t>
            </w:r>
          </w:p>
        </w:tc>
      </w:tr>
      <w:tr>
        <w:tc>
          <w:tcPr>
            <w:tcW w:type="dxa" w:w="2880"/>
          </w:tcPr>
          <w:p>
            <w:r>
              <w:rPr>
                <w:sz w:val="20"/>
              </w:rPr>
              <w:t>550–699</w:t>
            </w:r>
          </w:p>
        </w:tc>
        <w:tc>
          <w:tcPr>
            <w:tcW w:type="dxa" w:w="2880"/>
          </w:tcPr>
          <w:p>
            <w:r>
              <w:rPr>
                <w:sz w:val="20"/>
              </w:rPr>
              <w:t>Tier 3 — Watchlist</w:t>
            </w:r>
          </w:p>
        </w:tc>
        <w:tc>
          <w:tcPr>
            <w:tcW w:type="dxa" w:w="2880"/>
          </w:tcPr>
          <w:p>
            <w:r>
              <w:rPr>
                <w:sz w:val="20"/>
              </w:rPr>
              <w:t>Hold — conduct targeted DD on flag items before decision</w:t>
            </w:r>
          </w:p>
        </w:tc>
      </w:tr>
      <w:tr>
        <w:tc>
          <w:tcPr>
            <w:tcW w:type="dxa" w:w="2880"/>
          </w:tcPr>
          <w:p>
            <w:r>
              <w:rPr>
                <w:sz w:val="20"/>
              </w:rPr>
              <w:t>Below 550</w:t>
            </w:r>
          </w:p>
        </w:tc>
        <w:tc>
          <w:tcPr>
            <w:tcW w:type="dxa" w:w="2880"/>
          </w:tcPr>
          <w:p>
            <w:r>
              <w:rPr>
                <w:sz w:val="20"/>
              </w:rPr>
              <w:t>Tier 4 — Decline</w:t>
            </w:r>
          </w:p>
        </w:tc>
        <w:tc>
          <w:tcPr>
            <w:tcW w:type="dxa" w:w="2880"/>
          </w:tcPr>
          <w:p>
            <w:r>
              <w:rPr>
                <w:sz w:val="20"/>
              </w:rPr>
              <w:t>Not recommended for acquisition at this time</w:t>
            </w:r>
          </w:p>
        </w:tc>
      </w:tr>
    </w:tbl>
    <w:p/>
    <w:p>
      <w:pPr>
        <w:spacing w:after="60"/>
        <w:ind w:left="0"/>
      </w:pPr>
      <w:r>
        <w:rPr>
          <w:color w:val="374151"/>
          <w:sz w:val="21"/>
        </w:rPr>
        <w:t>Note: Any target that fails a Mandatory Gate criterion is automatically disqualified from further consideration, regardless of total score. Mandatory Gates are non-negotiable and cannot be waived by the M&amp;A Committee without Board approval.</w:t>
      </w:r>
    </w:p>
    <w:p>
      <w:pPr>
        <w:spacing w:before="240" w:after="80"/>
      </w:pPr>
      <w:r>
        <w:rPr>
          <w:b/>
          <w:color w:val="1E3A5F"/>
          <w:sz w:val="32"/>
        </w:rPr>
        <w:t>4. Due Diligence Workstream Checklist</w:t>
      </w:r>
    </w:p>
    <w:p>
      <w:pPr>
        <w:spacing w:before="160" w:after="40"/>
      </w:pPr>
      <w:r>
        <w:rPr>
          <w:b/>
          <w:color w:val="2D6A9F"/>
          <w:sz w:val="26"/>
        </w:rPr>
        <w:t>4.1 FDD — Financial Due Diligence</w:t>
      </w:r>
    </w:p>
    <w:p>
      <w:pPr>
        <w:pStyle w:val="ListBullet"/>
        <w:ind w:left="283"/>
      </w:pPr>
      <w:r>
        <w:rPr>
          <w:color w:val="374151"/>
          <w:sz w:val="21"/>
        </w:rPr>
        <w:t>FDD-M01: 3 years Big 4 audited financial statements (P&amp;L, balance sheet, cash flow)</w:t>
      </w:r>
    </w:p>
    <w:p>
      <w:pPr>
        <w:pStyle w:val="ListBullet"/>
        <w:ind w:left="283"/>
      </w:pPr>
      <w:r>
        <w:rPr>
          <w:color w:val="374151"/>
          <w:sz w:val="21"/>
        </w:rPr>
        <w:t>FDD-M02: EBITDA restatement for RPTs, management fees, non-recurring items</w:t>
      </w:r>
    </w:p>
    <w:p>
      <w:pPr>
        <w:pStyle w:val="ListBullet"/>
        <w:ind w:left="283"/>
      </w:pPr>
      <w:r>
        <w:rPr>
          <w:color w:val="374151"/>
          <w:sz w:val="21"/>
        </w:rPr>
        <w:t>FDD-M03: Revenue breakdown by service line, specialty, and payer</w:t>
      </w:r>
    </w:p>
    <w:p>
      <w:pPr>
        <w:pStyle w:val="ListBullet"/>
        <w:ind w:left="283"/>
      </w:pPr>
      <w:r>
        <w:rPr>
          <w:color w:val="374151"/>
          <w:sz w:val="21"/>
        </w:rPr>
        <w:t>FDD-M04: Debt schedule, covenant compliance, and refinancing terms</w:t>
      </w:r>
    </w:p>
    <w:p>
      <w:pPr>
        <w:pStyle w:val="ListBullet"/>
        <w:ind w:left="283"/>
      </w:pPr>
      <w:r>
        <w:rPr>
          <w:color w:val="374151"/>
          <w:sz w:val="21"/>
        </w:rPr>
        <w:t>FDD-H01: Revenue concentration analysis (top 5 accounts)</w:t>
      </w:r>
    </w:p>
    <w:p>
      <w:pPr>
        <w:pStyle w:val="ListBullet"/>
        <w:ind w:left="283"/>
      </w:pPr>
      <w:r>
        <w:rPr>
          <w:color w:val="374151"/>
          <w:sz w:val="21"/>
        </w:rPr>
        <w:t>FDD-H02: Accounts receivable ageing and DSO calculation</w:t>
      </w:r>
    </w:p>
    <w:p>
      <w:pPr>
        <w:pStyle w:val="ListBullet"/>
        <w:ind w:left="283"/>
      </w:pPr>
      <w:r>
        <w:rPr>
          <w:color w:val="374151"/>
          <w:sz w:val="21"/>
        </w:rPr>
        <w:t>FDD-H03: Capex schedule — maintenance vs growth</w:t>
      </w:r>
    </w:p>
    <w:p>
      <w:pPr>
        <w:pStyle w:val="ListBullet"/>
        <w:ind w:left="283"/>
      </w:pPr>
      <w:r>
        <w:rPr>
          <w:color w:val="374151"/>
          <w:sz w:val="21"/>
        </w:rPr>
        <w:t>FDD-H04: Full related-party transaction disclosure and arms-length verification</w:t>
      </w:r>
    </w:p>
    <w:p>
      <w:pPr>
        <w:spacing w:before="160" w:after="40"/>
      </w:pPr>
      <w:r>
        <w:rPr>
          <w:b/>
          <w:color w:val="2D6A9F"/>
          <w:sz w:val="26"/>
        </w:rPr>
        <w:t>4.2 ODD — Operational Due Diligence</w:t>
      </w:r>
    </w:p>
    <w:p>
      <w:pPr>
        <w:pStyle w:val="ListBullet"/>
        <w:ind w:left="283"/>
      </w:pPr>
      <w:r>
        <w:rPr>
          <w:color w:val="374151"/>
          <w:sz w:val="21"/>
        </w:rPr>
        <w:t>ODD-M01: All facility licences current and valid &gt;2 years</w:t>
      </w:r>
    </w:p>
    <w:p>
      <w:pPr>
        <w:pStyle w:val="ListBullet"/>
        <w:ind w:left="283"/>
      </w:pPr>
      <w:r>
        <w:rPr>
          <w:color w:val="374151"/>
          <w:sz w:val="21"/>
        </w:rPr>
        <w:t>ODD-M02: Bed occupancy rate (inpatient facilities) ≥65%</w:t>
      </w:r>
    </w:p>
    <w:p>
      <w:pPr>
        <w:pStyle w:val="ListBullet"/>
        <w:ind w:left="283"/>
      </w:pPr>
      <w:r>
        <w:rPr>
          <w:color w:val="374151"/>
          <w:sz w:val="21"/>
        </w:rPr>
        <w:t>ODD-M03: JCI or equivalent accreditation confirmed</w:t>
      </w:r>
    </w:p>
    <w:p>
      <w:pPr>
        <w:pStyle w:val="ListBullet"/>
        <w:ind w:left="283"/>
      </w:pPr>
      <w:r>
        <w:rPr>
          <w:color w:val="374151"/>
          <w:sz w:val="21"/>
        </w:rPr>
        <w:t>ODD-H01: Physician retention rate (FY2024, FY2025)</w:t>
      </w:r>
    </w:p>
    <w:p>
      <w:pPr>
        <w:pStyle w:val="ListBullet"/>
        <w:ind w:left="283"/>
      </w:pPr>
      <w:r>
        <w:rPr>
          <w:color w:val="374151"/>
          <w:sz w:val="21"/>
        </w:rPr>
        <w:t>ODD-H02: Patient NPS (most recent 12-month average)</w:t>
      </w:r>
    </w:p>
    <w:p>
      <w:pPr>
        <w:pStyle w:val="ListBullet"/>
        <w:ind w:left="283"/>
      </w:pPr>
      <w:r>
        <w:rPr>
          <w:color w:val="374151"/>
          <w:sz w:val="21"/>
        </w:rPr>
        <w:t>ODD-H03: IT/HIS compatibility assessment with Zava Health+</w:t>
      </w:r>
    </w:p>
    <w:p>
      <w:pPr>
        <w:pStyle w:val="ListBullet"/>
        <w:ind w:left="283"/>
      </w:pPr>
      <w:r>
        <w:rPr>
          <w:color w:val="374151"/>
          <w:sz w:val="21"/>
        </w:rPr>
        <w:t>ODD-H04: C-suite depth and formal succession plan documentation</w:t>
      </w:r>
    </w:p>
    <w:p>
      <w:pPr>
        <w:spacing w:before="160" w:after="40"/>
      </w:pPr>
      <w:r>
        <w:rPr>
          <w:b/>
          <w:color w:val="2D6A9F"/>
          <w:sz w:val="26"/>
        </w:rPr>
        <w:t>4.3 LRD — Legal &amp; Regulatory Due Diligence</w:t>
      </w:r>
    </w:p>
    <w:p>
      <w:pPr>
        <w:pStyle w:val="ListBullet"/>
        <w:ind w:left="283"/>
      </w:pPr>
      <w:r>
        <w:rPr>
          <w:color w:val="374151"/>
          <w:sz w:val="21"/>
        </w:rPr>
        <w:t>LRD-M01: All facility licences valid &gt;2 years</w:t>
      </w:r>
    </w:p>
    <w:p>
      <w:pPr>
        <w:pStyle w:val="ListBullet"/>
        <w:ind w:left="283"/>
      </w:pPr>
      <w:r>
        <w:rPr>
          <w:color w:val="374151"/>
          <w:sz w:val="21"/>
        </w:rPr>
        <w:t>LRD-M02: No pending regulatory investigation or enforcement</w:t>
      </w:r>
    </w:p>
    <w:p>
      <w:pPr>
        <w:pStyle w:val="ListBullet"/>
        <w:ind w:left="283"/>
      </w:pPr>
      <w:r>
        <w:rPr>
          <w:color w:val="374151"/>
          <w:sz w:val="21"/>
        </w:rPr>
        <w:t>LRD-M03: Foreign ownership structure compliant with local law</w:t>
      </w:r>
    </w:p>
    <w:p>
      <w:pPr>
        <w:pStyle w:val="ListBullet"/>
        <w:ind w:left="283"/>
      </w:pPr>
      <w:r>
        <w:rPr>
          <w:color w:val="374151"/>
          <w:sz w:val="21"/>
        </w:rPr>
        <w:t>LRD-H01: Data privacy compliance (local regulation equivalent)</w:t>
      </w:r>
    </w:p>
    <w:p>
      <w:pPr>
        <w:pStyle w:val="ListBullet"/>
        <w:ind w:left="283"/>
      </w:pPr>
      <w:r>
        <w:rPr>
          <w:color w:val="374151"/>
          <w:sz w:val="21"/>
        </w:rPr>
        <w:t>LRD-H02: Anti-bribery and corruption (ABAC) policy documentation</w:t>
      </w:r>
    </w:p>
    <w:p>
      <w:pPr>
        <w:pStyle w:val="ListBullet"/>
        <w:ind w:left="283"/>
      </w:pPr>
      <w:r>
        <w:rPr>
          <w:color w:val="374151"/>
          <w:sz w:val="21"/>
        </w:rPr>
        <w:t>LRD-H03: Clinical waste disposal and environmental compliance</w:t>
      </w:r>
    </w:p>
    <w:p>
      <w:pPr>
        <w:spacing w:before="160" w:after="40"/>
      </w:pPr>
      <w:r>
        <w:rPr>
          <w:b/>
          <w:color w:val="2D6A9F"/>
          <w:sz w:val="26"/>
        </w:rPr>
        <w:t>4.4 SFT — Strategic Fit Assessment</w:t>
      </w:r>
    </w:p>
    <w:p>
      <w:pPr>
        <w:pStyle w:val="ListBullet"/>
        <w:ind w:left="283"/>
      </w:pPr>
      <w:r>
        <w:rPr>
          <w:color w:val="374151"/>
          <w:sz w:val="21"/>
        </w:rPr>
        <w:t>SFT-M01: Facility located in Zava target ASEAN market</w:t>
      </w:r>
    </w:p>
    <w:p>
      <w:pPr>
        <w:pStyle w:val="ListBullet"/>
        <w:ind w:left="283"/>
      </w:pPr>
      <w:r>
        <w:rPr>
          <w:color w:val="374151"/>
          <w:sz w:val="21"/>
        </w:rPr>
        <w:t>SFT-M02: Minimum bed/facility threshold met</w:t>
      </w:r>
    </w:p>
    <w:p>
      <w:pPr>
        <w:pStyle w:val="ListBullet"/>
        <w:ind w:left="283"/>
      </w:pPr>
      <w:r>
        <w:rPr>
          <w:color w:val="374151"/>
          <w:sz w:val="21"/>
        </w:rPr>
        <w:t>SFT-H01: Specialist services in Zava priority CoE areas</w:t>
      </w:r>
    </w:p>
    <w:p>
      <w:pPr>
        <w:pStyle w:val="ListBullet"/>
        <w:ind w:left="283"/>
      </w:pPr>
      <w:r>
        <w:rPr>
          <w:color w:val="374151"/>
          <w:sz w:val="21"/>
        </w:rPr>
        <w:t>SFT-H02: Medical tourism revenue stream or credible growth pathway</w:t>
      </w:r>
    </w:p>
    <w:p>
      <w:pPr>
        <w:pStyle w:val="ListBullet"/>
        <w:ind w:left="283"/>
      </w:pPr>
      <w:r>
        <w:rPr>
          <w:color w:val="374151"/>
          <w:sz w:val="21"/>
        </w:rPr>
        <w:t>SFT-H03: Written commitment to Zava Health+ migration timeline</w:t>
      </w:r>
    </w:p>
    <w:p>
      <w:pPr>
        <w:spacing w:before="240" w:after="80"/>
      </w:pPr>
      <w:r>
        <w:rPr>
          <w:b/>
          <w:color w:val="1E3A5F"/>
          <w:sz w:val="32"/>
        </w:rPr>
        <w:t>5. Deliverables and Timeline</w:t>
      </w:r>
    </w:p>
    <w:p>
      <w:pPr>
        <w:spacing w:after="60"/>
        <w:ind w:left="0"/>
      </w:pPr>
      <w:r>
        <w:rPr>
          <w:color w:val="374151"/>
          <w:sz w:val="21"/>
        </w:rPr>
        <w:t>The M&amp;A Advisory team is responsible for completing the following deliverables for each shortlisted target:</w:t>
      </w:r>
    </w:p>
    <w:p>
      <w:pPr>
        <w:pStyle w:val="ListBullet"/>
        <w:ind w:left="283"/>
      </w:pPr>
      <w:r>
        <w:rPr>
          <w:color w:val="374151"/>
          <w:sz w:val="21"/>
        </w:rPr>
        <w:t>Due Diligence Initiation (All 4 targets) — Upon execution of NDA + LOI</w:t>
      </w:r>
    </w:p>
    <w:p>
      <w:pPr>
        <w:pStyle w:val="ListBullet"/>
        <w:ind w:left="283"/>
      </w:pPr>
      <w:r>
        <w:rPr>
          <w:color w:val="374151"/>
          <w:sz w:val="21"/>
        </w:rPr>
        <w:t>Preliminary Scorecard (All 4 targets) — Within 14 days of DD initiation</w:t>
      </w:r>
    </w:p>
    <w:p>
      <w:pPr>
        <w:pStyle w:val="ListBullet"/>
        <w:ind w:left="283"/>
      </w:pPr>
      <w:r>
        <w:rPr>
          <w:color w:val="374151"/>
          <w:sz w:val="21"/>
        </w:rPr>
        <w:t>Management Presentation (All 4 targets) — Week of 12 May 2026</w:t>
      </w:r>
    </w:p>
    <w:p>
      <w:pPr>
        <w:pStyle w:val="ListBullet"/>
        <w:ind w:left="283"/>
      </w:pPr>
      <w:r>
        <w:rPr>
          <w:color w:val="374151"/>
          <w:sz w:val="21"/>
        </w:rPr>
        <w:t>Full DD Completion (All 4 targets) — 30 June 2026</w:t>
      </w:r>
    </w:p>
    <w:p>
      <w:pPr>
        <w:pStyle w:val="ListBullet"/>
        <w:ind w:left="283"/>
      </w:pPr>
      <w:r>
        <w:rPr>
          <w:color w:val="374151"/>
          <w:sz w:val="21"/>
        </w:rPr>
        <w:t>M&amp;A Committee Recommendation (All 4 targets) — 14 July 2026</w:t>
      </w:r>
    </w:p>
    <w:p>
      <w:pPr>
        <w:pStyle w:val="ListBullet"/>
        <w:ind w:left="283"/>
      </w:pPr>
      <w:r>
        <w:rPr>
          <w:color w:val="374151"/>
          <w:sz w:val="21"/>
        </w:rPr>
        <w:t>Board Approval (preferred target) (1 target) — 28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Zava Healthcare – ASEAN Acquisition Evaluation Framework</dc:title>
  <dc:subject/>
  <dc:creator>Zava Group M&amp;A Advisory</dc:creator>
  <cp:keywords/>
  <dc:description>generated by python-docx</dc:description>
  <cp:lastModifiedBy/>
  <cp:revision>1</cp:revision>
  <dcterms:created xsi:type="dcterms:W3CDTF">2013-12-23T23:15:00Z</dcterms:created>
  <dcterms:modified xsi:type="dcterms:W3CDTF">2013-12-23T23:15:00Z</dcterms:modified>
  <cp:category/>
</cp:coreProperties>
</file>