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2D55"/>
          <w:sz w:val="44"/>
        </w:rPr>
        <w:t>ZAVA GROUP HOLDINGS BERHAD</w:t>
      </w:r>
    </w:p>
    <w:p>
      <w:pPr>
        <w:jc w:val="center"/>
      </w:pPr>
      <w:r>
        <w:rPr>
          <w:b/>
          <w:color w:val="167A48"/>
          <w:sz w:val="40"/>
        </w:rPr>
        <w:t>ESG &amp; SUSTAINABILITY FRAMEWORK</w:t>
      </w:r>
    </w:p>
    <w:p>
      <w:pPr>
        <w:jc w:val="center"/>
      </w:pPr>
      <w:r>
        <w:rPr>
          <w:color w:val="1A1A2E"/>
          <w:sz w:val="26"/>
        </w:rPr>
        <w:t>GRI Standards | TCFD | EUDR | NDPE | RSPO/ISPO</w:t>
        <w:br/>
        <w:t>FY2024 Baseline Report &amp; FY2025-2030 Targets</w:t>
      </w:r>
    </w:p>
    <w:p/>
    <w:p>
      <w:pPr>
        <w:jc w:val="center"/>
      </w:pPr>
      <w:r>
        <w:rPr>
          <w:color w:val="6B7280"/>
          <w:sz w:val="22"/>
        </w:rPr>
        <w:t>Approved by Board Sustainability Committee: 20 January 2025</w:t>
        <w:br/>
        <w:t>Prepared by: Group ESG &amp; Sustainability Office</w:t>
        <w:br/>
        <w:t>Dual HQ: Kuala Lumpur, Malaysia &amp; Jakarta, Indonesia</w:t>
      </w:r>
    </w:p>
    <w:p>
      <w:r>
        <w:br w:type="page"/>
      </w:r>
    </w:p>
    <w:p>
      <w:pPr>
        <w:spacing w:before="360" w:after="120"/>
      </w:pPr>
      <w:r>
        <w:rPr>
          <w:b/>
          <w:color w:val="1F2D55"/>
          <w:sz w:val="32"/>
        </w:rPr>
        <w:t>Section 1: ESG Governance Structure</w:t>
      </w:r>
    </w:p>
    <w:p>
      <w:pPr>
        <w:spacing w:after="100"/>
      </w:pPr>
      <w:r>
        <w:rPr>
          <w:color w:val="1A1A2E"/>
          <w:sz w:val="21"/>
        </w:rPr>
        <w:t>Zava Group's sustainability governance is anchored at Board level through the Board Sustainability Committee (BSC), chaired by an Independent Non-Executive Director. The BSC meets quarterly and reports directly to the full Board.</w:t>
      </w:r>
    </w:p>
    <w:p>
      <w:pPr>
        <w:spacing w:before="200" w:after="80"/>
      </w:pPr>
      <w:r>
        <w:rPr>
          <w:b/>
          <w:color w:val="00878A"/>
          <w:sz w:val="26"/>
        </w:rPr>
        <w:t>1.1 Governance Architecture</w:t>
      </w:r>
    </w:p>
    <w:p>
      <w:pPr>
        <w:pStyle w:val="ListBullet"/>
        <w:spacing w:after="60"/>
        <w:ind w:left="360"/>
      </w:pPr>
      <w:r>
        <w:rPr>
          <w:color w:val="1A1A2E"/>
          <w:sz w:val="21"/>
        </w:rPr>
        <w:t>Board Sustainability Committee (BSC): Quarterly meetings; oversees Group ESG strategy, targets, and material disclosures</w:t>
      </w:r>
    </w:p>
    <w:p>
      <w:pPr>
        <w:pStyle w:val="ListBullet"/>
        <w:spacing w:after="60"/>
        <w:ind w:left="360"/>
      </w:pPr>
      <w:r>
        <w:rPr>
          <w:color w:val="1A1A2E"/>
          <w:sz w:val="21"/>
        </w:rPr>
        <w:t>Group ESG &amp; Sustainability Office (GESO): Reports to Group CSO Marcus Chen; coordinates across all 11 divisions</w:t>
      </w:r>
    </w:p>
    <w:p>
      <w:pPr>
        <w:pStyle w:val="ListBullet"/>
        <w:spacing w:after="60"/>
        <w:ind w:left="360"/>
      </w:pPr>
      <w:r>
        <w:rPr>
          <w:color w:val="1A1A2E"/>
          <w:sz w:val="21"/>
        </w:rPr>
        <w:t>Divisional ESG Leads: Appointed in each of 11 divisions; responsible for divisional KPI delivery and GRI data collection</w:t>
      </w:r>
    </w:p>
    <w:p>
      <w:pPr>
        <w:pStyle w:val="ListBullet"/>
        <w:spacing w:after="60"/>
        <w:ind w:left="360"/>
      </w:pPr>
      <w:r>
        <w:rPr>
          <w:color w:val="1A1A2E"/>
          <w:sz w:val="21"/>
        </w:rPr>
        <w:t>External Assurance: Ernst &amp; Young Malaysia provides limited assurance on GRI-material Scope 1, 2, and key social metrics</w:t>
      </w:r>
    </w:p>
    <w:p>
      <w:pPr>
        <w:pStyle w:val="ListBullet"/>
        <w:spacing w:after="60"/>
        <w:ind w:left="360"/>
      </w:pPr>
      <w:r>
        <w:rPr>
          <w:color w:val="1A1A2E"/>
          <w:sz w:val="21"/>
        </w:rPr>
        <w:t>Reporting Standards: GRI Standards 2021 (Core), TCFD (full alignment), Bursa Malaysia Sustainability Reporting Guide (2nd edition), MSCI ESG Rating disclosure</w:t>
      </w:r>
    </w:p>
    <w:p>
      <w:pPr>
        <w:spacing w:before="200" w:after="80"/>
      </w:pPr>
      <w:r>
        <w:rPr>
          <w:b/>
          <w:color w:val="00878A"/>
          <w:sz w:val="26"/>
        </w:rPr>
        <w:t>1.2 Materiality Assessment</w:t>
      </w:r>
    </w:p>
    <w:p>
      <w:pPr>
        <w:spacing w:after="100"/>
      </w:pPr>
      <w:r>
        <w:rPr>
          <w:color w:val="1A1A2E"/>
          <w:sz w:val="21"/>
        </w:rPr>
        <w:t>Zava Group conducted a Double Materiality Assessment in FY2024, engaging 1,240 stakeholders (investors, employees, communities, NGOs, regulators) across Malaysia and Indonesia. Top material topics (ranked by combined financial + impact materiality):</w:t>
      </w:r>
    </w:p>
    <w:tbl>
      <w:tblPr>
        <w:tblStyle w:val="TableGrid"/>
        <w:tblW w:type="auto" w:w="0"/>
        <w:tblLook w:firstColumn="1" w:firstRow="1" w:lastColumn="0" w:lastRow="0" w:noHBand="0" w:noVBand="1" w:val="04A0"/>
      </w:tblPr>
      <w:tblGrid>
        <w:gridCol w:w="3041"/>
        <w:gridCol w:w="3041"/>
        <w:gridCol w:w="3041"/>
      </w:tblGrid>
      <w:tr>
        <w:tc>
          <w:tcPr>
            <w:tcW w:type="dxa" w:w="3041"/>
          </w:tcPr>
          <w:p>
            <w:r>
              <w:t>Rank</w:t>
            </w:r>
          </w:p>
        </w:tc>
        <w:tc>
          <w:tcPr>
            <w:tcW w:type="dxa" w:w="3041"/>
          </w:tcPr>
          <w:p>
            <w:r>
              <w:t>Material Topic</w:t>
            </w:r>
          </w:p>
        </w:tc>
        <w:tc>
          <w:tcPr>
            <w:tcW w:type="dxa" w:w="3041"/>
          </w:tcPr>
          <w:p>
            <w:r>
              <w:t>Priority</w:t>
            </w:r>
          </w:p>
        </w:tc>
      </w:tr>
      <w:tr>
        <w:tc>
          <w:tcPr>
            <w:tcW w:type="dxa" w:w="3041"/>
            <w:shd w:val="clear" w:color="auto" w:fill="1F2D55"/>
          </w:tcPr>
          <w:p>
            <w:r>
              <w:rPr>
                <w:b/>
                <w:sz w:val="18"/>
              </w:rPr>
              <w:t>Rank</w:t>
            </w:r>
          </w:p>
        </w:tc>
        <w:tc>
          <w:tcPr>
            <w:tcW w:type="dxa" w:w="3041"/>
            <w:shd w:val="clear" w:color="auto" w:fill="1F2D55"/>
          </w:tcPr>
          <w:p>
            <w:r>
              <w:rPr>
                <w:b/>
                <w:sz w:val="18"/>
              </w:rPr>
              <w:t>Material Topic</w:t>
            </w:r>
          </w:p>
        </w:tc>
        <w:tc>
          <w:tcPr>
            <w:tcW w:type="dxa" w:w="3041"/>
            <w:shd w:val="clear" w:color="auto" w:fill="1F2D55"/>
          </w:tcPr>
          <w:p>
            <w:r>
              <w:rPr>
                <w:b/>
                <w:sz w:val="18"/>
              </w:rPr>
              <w:t>Priority</w:t>
            </w:r>
          </w:p>
        </w:tc>
      </w:tr>
      <w:tr>
        <w:tc>
          <w:tcPr>
            <w:tcW w:type="dxa" w:w="3041"/>
            <w:shd w:val="clear" w:color="auto" w:fill="FFF3CD"/>
          </w:tcPr>
          <w:p>
            <w:r>
              <w:rPr>
                <w:sz w:val="18"/>
              </w:rPr>
              <w:t>1</w:t>
            </w:r>
          </w:p>
        </w:tc>
        <w:tc>
          <w:tcPr>
            <w:tcW w:type="dxa" w:w="3041"/>
            <w:shd w:val="clear" w:color="auto" w:fill="FFF3CD"/>
          </w:tcPr>
          <w:p>
            <w:r>
              <w:rPr>
                <w:sz w:val="18"/>
              </w:rPr>
              <w:t>Climate change &amp; GHG emissions</w:t>
            </w:r>
          </w:p>
        </w:tc>
        <w:tc>
          <w:tcPr>
            <w:tcW w:type="dxa" w:w="3041"/>
            <w:shd w:val="clear" w:color="auto" w:fill="FFF3CD"/>
          </w:tcPr>
          <w:p>
            <w:r>
              <w:rPr>
                <w:sz w:val="18"/>
              </w:rPr>
              <w:t>Critical</w:t>
            </w:r>
          </w:p>
        </w:tc>
      </w:tr>
      <w:tr>
        <w:tc>
          <w:tcPr>
            <w:tcW w:type="dxa" w:w="3041"/>
            <w:shd w:val="clear" w:color="auto" w:fill="FFF3CD"/>
          </w:tcPr>
          <w:p>
            <w:r>
              <w:rPr>
                <w:sz w:val="18"/>
              </w:rPr>
              <w:t>2</w:t>
            </w:r>
          </w:p>
        </w:tc>
        <w:tc>
          <w:tcPr>
            <w:tcW w:type="dxa" w:w="3041"/>
            <w:shd w:val="clear" w:color="auto" w:fill="FFF3CD"/>
          </w:tcPr>
          <w:p>
            <w:r>
              <w:rPr>
                <w:sz w:val="18"/>
              </w:rPr>
              <w:t>Deforestation &amp; land use (EUDR/NDPE)</w:t>
            </w:r>
          </w:p>
        </w:tc>
        <w:tc>
          <w:tcPr>
            <w:tcW w:type="dxa" w:w="3041"/>
            <w:shd w:val="clear" w:color="auto" w:fill="FFF3CD"/>
          </w:tcPr>
          <w:p>
            <w:r>
              <w:rPr>
                <w:sz w:val="18"/>
              </w:rPr>
              <w:t>Critical</w:t>
            </w:r>
          </w:p>
        </w:tc>
      </w:tr>
      <w:tr>
        <w:tc>
          <w:tcPr>
            <w:tcW w:type="dxa" w:w="3041"/>
            <w:shd w:val="clear" w:color="auto" w:fill="FFFFFF"/>
          </w:tcPr>
          <w:p>
            <w:r>
              <w:rPr>
                <w:sz w:val="18"/>
              </w:rPr>
              <w:t>3</w:t>
            </w:r>
          </w:p>
        </w:tc>
        <w:tc>
          <w:tcPr>
            <w:tcW w:type="dxa" w:w="3041"/>
            <w:shd w:val="clear" w:color="auto" w:fill="FFFFFF"/>
          </w:tcPr>
          <w:p>
            <w:r>
              <w:rPr>
                <w:sz w:val="18"/>
              </w:rPr>
              <w:t>Worker rights &amp; labour standards</w:t>
            </w:r>
          </w:p>
        </w:tc>
        <w:tc>
          <w:tcPr>
            <w:tcW w:type="dxa" w:w="3041"/>
            <w:shd w:val="clear" w:color="auto" w:fill="FFFFFF"/>
          </w:tcPr>
          <w:p>
            <w:r>
              <w:rPr>
                <w:sz w:val="18"/>
              </w:rPr>
              <w:t>High</w:t>
            </w:r>
          </w:p>
        </w:tc>
      </w:tr>
      <w:tr>
        <w:tc>
          <w:tcPr>
            <w:tcW w:type="dxa" w:w="3041"/>
            <w:shd w:val="clear" w:color="auto" w:fill="FFFFFF"/>
          </w:tcPr>
          <w:p>
            <w:r>
              <w:rPr>
                <w:sz w:val="18"/>
              </w:rPr>
              <w:t>4</w:t>
            </w:r>
          </w:p>
        </w:tc>
        <w:tc>
          <w:tcPr>
            <w:tcW w:type="dxa" w:w="3041"/>
            <w:shd w:val="clear" w:color="auto" w:fill="FFFFFF"/>
          </w:tcPr>
          <w:p>
            <w:r>
              <w:rPr>
                <w:sz w:val="18"/>
              </w:rPr>
              <w:t>Biodiversity &amp; ecosystem services</w:t>
            </w:r>
          </w:p>
        </w:tc>
        <w:tc>
          <w:tcPr>
            <w:tcW w:type="dxa" w:w="3041"/>
            <w:shd w:val="clear" w:color="auto" w:fill="FFFFFF"/>
          </w:tcPr>
          <w:p>
            <w:r>
              <w:rPr>
                <w:sz w:val="18"/>
              </w:rPr>
              <w:t>High</w:t>
            </w:r>
          </w:p>
        </w:tc>
      </w:tr>
      <w:tr>
        <w:tc>
          <w:tcPr>
            <w:tcW w:type="dxa" w:w="3041"/>
            <w:shd w:val="clear" w:color="auto" w:fill="FFFFFF"/>
          </w:tcPr>
          <w:p>
            <w:r>
              <w:rPr>
                <w:sz w:val="18"/>
              </w:rPr>
              <w:t>5</w:t>
            </w:r>
          </w:p>
        </w:tc>
        <w:tc>
          <w:tcPr>
            <w:tcW w:type="dxa" w:w="3041"/>
            <w:shd w:val="clear" w:color="auto" w:fill="FFFFFF"/>
          </w:tcPr>
          <w:p>
            <w:r>
              <w:rPr>
                <w:sz w:val="18"/>
              </w:rPr>
              <w:t>Regulatory compliance (BPOM, BNM, RSPO)</w:t>
            </w:r>
          </w:p>
        </w:tc>
        <w:tc>
          <w:tcPr>
            <w:tcW w:type="dxa" w:w="3041"/>
            <w:shd w:val="clear" w:color="auto" w:fill="FFFFFF"/>
          </w:tcPr>
          <w:p>
            <w:r>
              <w:rPr>
                <w:sz w:val="18"/>
              </w:rPr>
              <w:t>High</w:t>
            </w:r>
          </w:p>
        </w:tc>
      </w:tr>
      <w:tr>
        <w:tc>
          <w:tcPr>
            <w:tcW w:type="dxa" w:w="3041"/>
            <w:shd w:val="clear" w:color="auto" w:fill="FFFFFF"/>
          </w:tcPr>
          <w:p>
            <w:r>
              <w:rPr>
                <w:sz w:val="18"/>
              </w:rPr>
              <w:t>6</w:t>
            </w:r>
          </w:p>
        </w:tc>
        <w:tc>
          <w:tcPr>
            <w:tcW w:type="dxa" w:w="3041"/>
            <w:shd w:val="clear" w:color="auto" w:fill="FFFFFF"/>
          </w:tcPr>
          <w:p>
            <w:r>
              <w:rPr>
                <w:sz w:val="18"/>
              </w:rPr>
              <w:t>Data privacy &amp; cybersecurity</w:t>
            </w:r>
          </w:p>
        </w:tc>
        <w:tc>
          <w:tcPr>
            <w:tcW w:type="dxa" w:w="3041"/>
            <w:shd w:val="clear" w:color="auto" w:fill="FFFFFF"/>
          </w:tcPr>
          <w:p>
            <w:r>
              <w:rPr>
                <w:sz w:val="18"/>
              </w:rPr>
              <w:t>High</w:t>
            </w:r>
          </w:p>
        </w:tc>
      </w:tr>
      <w:tr>
        <w:tc>
          <w:tcPr>
            <w:tcW w:type="dxa" w:w="3041"/>
            <w:shd w:val="clear" w:color="auto" w:fill="FFFFFF"/>
          </w:tcPr>
          <w:p>
            <w:r>
              <w:rPr>
                <w:sz w:val="18"/>
              </w:rPr>
              <w:t>7</w:t>
            </w:r>
          </w:p>
        </w:tc>
        <w:tc>
          <w:tcPr>
            <w:tcW w:type="dxa" w:w="3041"/>
            <w:shd w:val="clear" w:color="auto" w:fill="FFFFFF"/>
          </w:tcPr>
          <w:p>
            <w:r>
              <w:rPr>
                <w:sz w:val="18"/>
              </w:rPr>
              <w:t>Community livelihoods (plantation)</w:t>
            </w:r>
          </w:p>
        </w:tc>
        <w:tc>
          <w:tcPr>
            <w:tcW w:type="dxa" w:w="3041"/>
            <w:shd w:val="clear" w:color="auto" w:fill="FFFFFF"/>
          </w:tcPr>
          <w:p>
            <w:r>
              <w:rPr>
                <w:sz w:val="18"/>
              </w:rPr>
              <w:t>Medium</w:t>
            </w:r>
          </w:p>
        </w:tc>
      </w:tr>
      <w:tr>
        <w:tc>
          <w:tcPr>
            <w:tcW w:type="dxa" w:w="3041"/>
            <w:shd w:val="clear" w:color="auto" w:fill="FFFFFF"/>
          </w:tcPr>
          <w:p>
            <w:r>
              <w:rPr>
                <w:sz w:val="18"/>
              </w:rPr>
              <w:t>8</w:t>
            </w:r>
          </w:p>
        </w:tc>
        <w:tc>
          <w:tcPr>
            <w:tcW w:type="dxa" w:w="3041"/>
            <w:shd w:val="clear" w:color="auto" w:fill="FFFFFF"/>
          </w:tcPr>
          <w:p>
            <w:r>
              <w:rPr>
                <w:sz w:val="18"/>
              </w:rPr>
              <w:t>Supply chain ESG</w:t>
            </w:r>
          </w:p>
        </w:tc>
        <w:tc>
          <w:tcPr>
            <w:tcW w:type="dxa" w:w="3041"/>
            <w:shd w:val="clear" w:color="auto" w:fill="FFFFFF"/>
          </w:tcPr>
          <w:p>
            <w:r>
              <w:rPr>
                <w:sz w:val="18"/>
              </w:rPr>
              <w:t>Medium</w:t>
            </w:r>
          </w:p>
        </w:tc>
      </w:tr>
      <w:tr>
        <w:tc>
          <w:tcPr>
            <w:tcW w:type="dxa" w:w="3041"/>
            <w:shd w:val="clear" w:color="auto" w:fill="FFFFFF"/>
          </w:tcPr>
          <w:p>
            <w:r>
              <w:rPr>
                <w:sz w:val="18"/>
              </w:rPr>
              <w:t>9</w:t>
            </w:r>
          </w:p>
        </w:tc>
        <w:tc>
          <w:tcPr>
            <w:tcW w:type="dxa" w:w="3041"/>
            <w:shd w:val="clear" w:color="auto" w:fill="FFFFFF"/>
          </w:tcPr>
          <w:p>
            <w:r>
              <w:rPr>
                <w:sz w:val="18"/>
              </w:rPr>
              <w:t>Product safety (pharma, chemicals)</w:t>
            </w:r>
          </w:p>
        </w:tc>
        <w:tc>
          <w:tcPr>
            <w:tcW w:type="dxa" w:w="3041"/>
            <w:shd w:val="clear" w:color="auto" w:fill="FFFFFF"/>
          </w:tcPr>
          <w:p>
            <w:r>
              <w:rPr>
                <w:sz w:val="18"/>
              </w:rPr>
              <w:t>Medium</w:t>
            </w:r>
          </w:p>
        </w:tc>
      </w:tr>
      <w:tr>
        <w:tc>
          <w:tcPr>
            <w:tcW w:type="dxa" w:w="3041"/>
            <w:shd w:val="clear" w:color="auto" w:fill="FFFFFF"/>
          </w:tcPr>
          <w:p>
            <w:r>
              <w:rPr>
                <w:sz w:val="18"/>
              </w:rPr>
              <w:t>10</w:t>
            </w:r>
          </w:p>
        </w:tc>
        <w:tc>
          <w:tcPr>
            <w:tcW w:type="dxa" w:w="3041"/>
            <w:shd w:val="clear" w:color="auto" w:fill="FFFFFF"/>
          </w:tcPr>
          <w:p>
            <w:r>
              <w:rPr>
                <w:sz w:val="18"/>
              </w:rPr>
              <w:t>Corporate governance &amp; anti-corruption</w:t>
            </w:r>
          </w:p>
        </w:tc>
        <w:tc>
          <w:tcPr>
            <w:tcW w:type="dxa" w:w="3041"/>
            <w:shd w:val="clear" w:color="auto" w:fill="FFFFFF"/>
          </w:tcPr>
          <w:p>
            <w:r>
              <w:rPr>
                <w:sz w:val="18"/>
              </w:rPr>
              <w:t>Medium</w:t>
            </w:r>
          </w:p>
        </w:tc>
      </w:tr>
    </w:tbl>
    <w:p/>
    <w:p>
      <w:r>
        <w:br w:type="page"/>
      </w:r>
    </w:p>
    <w:p>
      <w:pPr>
        <w:spacing w:before="360" w:after="120"/>
      </w:pPr>
      <w:r>
        <w:rPr>
          <w:b/>
          <w:color w:val="1F2D55"/>
          <w:sz w:val="32"/>
        </w:rPr>
        <w:t>Section 2: Climate &amp; GHG Emissions</w:t>
      </w:r>
    </w:p>
    <w:p>
      <w:pPr>
        <w:spacing w:before="200" w:after="80"/>
      </w:pPr>
      <w:r>
        <w:rPr>
          <w:b/>
          <w:color w:val="00878A"/>
          <w:sz w:val="26"/>
        </w:rPr>
        <w:t>2.1 Emissions Baseline (FY2024)</w:t>
      </w:r>
    </w:p>
    <w:p>
      <w:pPr>
        <w:spacing w:after="100"/>
      </w:pPr>
      <w:r>
        <w:rPr>
          <w:color w:val="1A1A2E"/>
          <w:sz w:val="21"/>
        </w:rPr>
        <w:t>Zava Group's GHG inventory covers all 11 divisions across Malaysia, Indonesia, and India. Reporting follows GHG Protocol Corporate Standard (ISO 14064-1). Third-party verification by EY Malaysia.</w:t>
      </w:r>
    </w:p>
    <w:p>
      <w:pPr>
        <w:spacing w:after="80"/>
      </w:pPr>
      <w:r>
        <w:rPr>
          <w:b/>
          <w:color w:val="167A48"/>
          <w:sz w:val="20"/>
        </w:rPr>
        <w:t xml:space="preserve">FY2024 Baseline: </w:t>
      </w:r>
      <w:r>
        <w:rPr>
          <w:color w:val="1A1A2E"/>
          <w:sz w:val="20"/>
        </w:rPr>
        <w:t>Scope 1: 2.84M tCO2e | Scope 2 (market-based): 0.68M tCO2e | Scope 3 (material categories): 8.42M tCO2e | Intensity: 3.2 tCO2e per MYR M revenue</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tc>
        <w:tc>
          <w:tcPr>
            <w:tcW w:type="dxa" w:w="1824"/>
          </w:tcPr>
          <w:p/>
        </w:tc>
        <w:tc>
          <w:tcPr>
            <w:tcW w:type="dxa" w:w="1824"/>
          </w:tcPr>
          <w:p/>
        </w:tc>
        <w:tc>
          <w:tcPr>
            <w:tcW w:type="dxa" w:w="1824"/>
          </w:tcPr>
          <w:p/>
        </w:tc>
        <w:tc>
          <w:tcPr>
            <w:tcW w:type="dxa" w:w="1824"/>
          </w:tcPr>
          <w:p/>
        </w:tc>
      </w:tr>
      <w:tr>
        <w:tc>
          <w:tcPr>
            <w:tcW w:type="dxa" w:w="1824"/>
            <w:shd w:val="clear" w:color="auto" w:fill="1F2D55"/>
          </w:tcPr>
          <w:p>
            <w:r>
              <w:rPr>
                <w:b/>
                <w:sz w:val="18"/>
              </w:rPr>
              <w:t>Division</w:t>
            </w:r>
          </w:p>
        </w:tc>
        <w:tc>
          <w:tcPr>
            <w:tcW w:type="dxa" w:w="1824"/>
            <w:shd w:val="clear" w:color="auto" w:fill="1F2D55"/>
          </w:tcPr>
          <w:p>
            <w:r>
              <w:rPr>
                <w:b/>
                <w:sz w:val="18"/>
              </w:rPr>
              <w:t>Scope 1 (tCO2e)</w:t>
            </w:r>
          </w:p>
        </w:tc>
        <w:tc>
          <w:tcPr>
            <w:tcW w:type="dxa" w:w="1824"/>
            <w:shd w:val="clear" w:color="auto" w:fill="1F2D55"/>
          </w:tcPr>
          <w:p>
            <w:r>
              <w:rPr>
                <w:b/>
                <w:sz w:val="18"/>
              </w:rPr>
              <w:t>Scope 2 (tCO2e)</w:t>
            </w:r>
          </w:p>
        </w:tc>
        <w:tc>
          <w:tcPr>
            <w:tcW w:type="dxa" w:w="1824"/>
            <w:shd w:val="clear" w:color="auto" w:fill="1F2D55"/>
          </w:tcPr>
          <w:p>
            <w:r>
              <w:rPr>
                <w:b/>
                <w:sz w:val="18"/>
              </w:rPr>
              <w:t>Key Source</w:t>
            </w:r>
          </w:p>
        </w:tc>
        <w:tc>
          <w:tcPr>
            <w:tcW w:type="dxa" w:w="1824"/>
            <w:shd w:val="clear" w:color="auto" w:fill="1F2D55"/>
          </w:tcPr>
          <w:p>
            <w:r>
              <w:rPr>
                <w:b/>
                <w:sz w:val="18"/>
              </w:rPr>
              <w:t>FY2025 Target</w:t>
            </w:r>
          </w:p>
        </w:tc>
      </w:tr>
      <w:tr>
        <w:tc>
          <w:tcPr>
            <w:tcW w:type="dxa" w:w="1824"/>
          </w:tcPr>
          <w:p>
            <w:r>
              <w:rPr>
                <w:sz w:val="18"/>
              </w:rPr>
              <w:t>Zava Agribusiness</w:t>
            </w:r>
          </w:p>
        </w:tc>
        <w:tc>
          <w:tcPr>
            <w:tcW w:type="dxa" w:w="1824"/>
          </w:tcPr>
          <w:p>
            <w:r>
              <w:rPr>
                <w:sz w:val="18"/>
              </w:rPr>
              <w:t>1,420,000</w:t>
            </w:r>
          </w:p>
        </w:tc>
        <w:tc>
          <w:tcPr>
            <w:tcW w:type="dxa" w:w="1824"/>
          </w:tcPr>
          <w:p>
            <w:r>
              <w:rPr>
                <w:sz w:val="18"/>
              </w:rPr>
              <w:t>82,000</w:t>
            </w:r>
          </w:p>
        </w:tc>
        <w:tc>
          <w:tcPr>
            <w:tcW w:type="dxa" w:w="1824"/>
          </w:tcPr>
          <w:p>
            <w:r>
              <w:rPr>
                <w:sz w:val="18"/>
              </w:rPr>
              <w:t>Peat oxidation, field burning</w:t>
            </w:r>
          </w:p>
        </w:tc>
        <w:tc>
          <w:tcPr>
            <w:tcW w:type="dxa" w:w="1824"/>
          </w:tcPr>
          <w:p>
            <w:r>
              <w:rPr>
                <w:sz w:val="18"/>
              </w:rPr>
              <w:t>1,280,000 (-10%)</w:t>
            </w:r>
          </w:p>
        </w:tc>
      </w:tr>
      <w:tr>
        <w:tc>
          <w:tcPr>
            <w:tcW w:type="dxa" w:w="1824"/>
          </w:tcPr>
          <w:p>
            <w:r>
              <w:rPr>
                <w:sz w:val="18"/>
              </w:rPr>
              <w:t>Zava Chemicals</w:t>
            </w:r>
          </w:p>
        </w:tc>
        <w:tc>
          <w:tcPr>
            <w:tcW w:type="dxa" w:w="1824"/>
          </w:tcPr>
          <w:p>
            <w:r>
              <w:rPr>
                <w:sz w:val="18"/>
              </w:rPr>
              <w:t>680,000</w:t>
            </w:r>
          </w:p>
        </w:tc>
        <w:tc>
          <w:tcPr>
            <w:tcW w:type="dxa" w:w="1824"/>
          </w:tcPr>
          <w:p>
            <w:r>
              <w:rPr>
                <w:sz w:val="18"/>
              </w:rPr>
              <w:t>210,000</w:t>
            </w:r>
          </w:p>
        </w:tc>
        <w:tc>
          <w:tcPr>
            <w:tcW w:type="dxa" w:w="1824"/>
          </w:tcPr>
          <w:p>
            <w:r>
              <w:rPr>
                <w:sz w:val="18"/>
              </w:rPr>
              <w:t>Process combustion, steam</w:t>
            </w:r>
          </w:p>
        </w:tc>
        <w:tc>
          <w:tcPr>
            <w:tcW w:type="dxa" w:w="1824"/>
          </w:tcPr>
          <w:p>
            <w:r>
              <w:rPr>
                <w:sz w:val="18"/>
              </w:rPr>
              <w:t>640,000 (-6%)</w:t>
            </w:r>
          </w:p>
        </w:tc>
      </w:tr>
      <w:tr>
        <w:tc>
          <w:tcPr>
            <w:tcW w:type="dxa" w:w="1824"/>
          </w:tcPr>
          <w:p>
            <w:r>
              <w:rPr>
                <w:sz w:val="18"/>
              </w:rPr>
              <w:t>Zava Manufacturing</w:t>
            </w:r>
          </w:p>
        </w:tc>
        <w:tc>
          <w:tcPr>
            <w:tcW w:type="dxa" w:w="1824"/>
          </w:tcPr>
          <w:p>
            <w:r>
              <w:rPr>
                <w:sz w:val="18"/>
              </w:rPr>
              <w:t>240,000</w:t>
            </w:r>
          </w:p>
        </w:tc>
        <w:tc>
          <w:tcPr>
            <w:tcW w:type="dxa" w:w="1824"/>
          </w:tcPr>
          <w:p>
            <w:r>
              <w:rPr>
                <w:sz w:val="18"/>
              </w:rPr>
              <w:t>185,000</w:t>
            </w:r>
          </w:p>
        </w:tc>
        <w:tc>
          <w:tcPr>
            <w:tcW w:type="dxa" w:w="1824"/>
          </w:tcPr>
          <w:p>
            <w:r>
              <w:rPr>
                <w:sz w:val="18"/>
              </w:rPr>
              <w:t>Electricity, combustion</w:t>
            </w:r>
          </w:p>
        </w:tc>
        <w:tc>
          <w:tcPr>
            <w:tcW w:type="dxa" w:w="1824"/>
          </w:tcPr>
          <w:p>
            <w:r>
              <w:rPr>
                <w:sz w:val="18"/>
              </w:rPr>
              <w:t>225,000 (-6%)</w:t>
            </w:r>
          </w:p>
        </w:tc>
      </w:tr>
      <w:tr>
        <w:tc>
          <w:tcPr>
            <w:tcW w:type="dxa" w:w="1824"/>
          </w:tcPr>
          <w:p>
            <w:r>
              <w:rPr>
                <w:sz w:val="18"/>
              </w:rPr>
              <w:t>Zava Healthcare</w:t>
            </w:r>
          </w:p>
        </w:tc>
        <w:tc>
          <w:tcPr>
            <w:tcW w:type="dxa" w:w="1824"/>
          </w:tcPr>
          <w:p>
            <w:r>
              <w:rPr>
                <w:sz w:val="18"/>
              </w:rPr>
              <w:t>48,000</w:t>
            </w:r>
          </w:p>
        </w:tc>
        <w:tc>
          <w:tcPr>
            <w:tcW w:type="dxa" w:w="1824"/>
          </w:tcPr>
          <w:p>
            <w:r>
              <w:rPr>
                <w:sz w:val="18"/>
              </w:rPr>
              <w:t>62,000</w:t>
            </w:r>
          </w:p>
        </w:tc>
        <w:tc>
          <w:tcPr>
            <w:tcW w:type="dxa" w:w="1824"/>
          </w:tcPr>
          <w:p>
            <w:r>
              <w:rPr>
                <w:sz w:val="18"/>
              </w:rPr>
              <w:t>Medical waste, cooling</w:t>
            </w:r>
          </w:p>
        </w:tc>
        <w:tc>
          <w:tcPr>
            <w:tcW w:type="dxa" w:w="1824"/>
          </w:tcPr>
          <w:p>
            <w:r>
              <w:rPr>
                <w:sz w:val="18"/>
              </w:rPr>
              <w:t>46,000 (-4%)</w:t>
            </w:r>
          </w:p>
        </w:tc>
      </w:tr>
      <w:tr>
        <w:tc>
          <w:tcPr>
            <w:tcW w:type="dxa" w:w="1824"/>
          </w:tcPr>
          <w:p>
            <w:r>
              <w:rPr>
                <w:sz w:val="18"/>
              </w:rPr>
              <w:t>Zava BPO &amp; Digital</w:t>
            </w:r>
          </w:p>
        </w:tc>
        <w:tc>
          <w:tcPr>
            <w:tcW w:type="dxa" w:w="1824"/>
          </w:tcPr>
          <w:p>
            <w:r>
              <w:rPr>
                <w:sz w:val="18"/>
              </w:rPr>
              <w:t>12,000</w:t>
            </w:r>
          </w:p>
        </w:tc>
        <w:tc>
          <w:tcPr>
            <w:tcW w:type="dxa" w:w="1824"/>
          </w:tcPr>
          <w:p>
            <w:r>
              <w:rPr>
                <w:sz w:val="18"/>
              </w:rPr>
              <w:t>58,000</w:t>
            </w:r>
          </w:p>
        </w:tc>
        <w:tc>
          <w:tcPr>
            <w:tcW w:type="dxa" w:w="1824"/>
          </w:tcPr>
          <w:p>
            <w:r>
              <w:rPr>
                <w:sz w:val="18"/>
              </w:rPr>
              <w:t>Data centre electricity</w:t>
            </w:r>
          </w:p>
        </w:tc>
        <w:tc>
          <w:tcPr>
            <w:tcW w:type="dxa" w:w="1824"/>
          </w:tcPr>
          <w:p>
            <w:r>
              <w:rPr>
                <w:sz w:val="18"/>
              </w:rPr>
              <w:t>11,000 (-8%)</w:t>
            </w:r>
          </w:p>
        </w:tc>
      </w:tr>
      <w:tr>
        <w:tc>
          <w:tcPr>
            <w:tcW w:type="dxa" w:w="1824"/>
          </w:tcPr>
          <w:p>
            <w:r>
              <w:rPr>
                <w:sz w:val="18"/>
              </w:rPr>
              <w:t>Zava Financial Services</w:t>
            </w:r>
          </w:p>
        </w:tc>
        <w:tc>
          <w:tcPr>
            <w:tcW w:type="dxa" w:w="1824"/>
          </w:tcPr>
          <w:p>
            <w:r>
              <w:rPr>
                <w:sz w:val="18"/>
              </w:rPr>
              <w:t>8,000</w:t>
            </w:r>
          </w:p>
        </w:tc>
        <w:tc>
          <w:tcPr>
            <w:tcW w:type="dxa" w:w="1824"/>
          </w:tcPr>
          <w:p>
            <w:r>
              <w:rPr>
                <w:sz w:val="18"/>
              </w:rPr>
              <w:t>32,000</w:t>
            </w:r>
          </w:p>
        </w:tc>
        <w:tc>
          <w:tcPr>
            <w:tcW w:type="dxa" w:w="1824"/>
          </w:tcPr>
          <w:p>
            <w:r>
              <w:rPr>
                <w:sz w:val="18"/>
              </w:rPr>
              <w:t>Office buildings</w:t>
            </w:r>
          </w:p>
        </w:tc>
        <w:tc>
          <w:tcPr>
            <w:tcW w:type="dxa" w:w="1824"/>
          </w:tcPr>
          <w:p>
            <w:r>
              <w:rPr>
                <w:sz w:val="18"/>
              </w:rPr>
              <w:t>7,500 (-6%)</w:t>
            </w:r>
          </w:p>
        </w:tc>
      </w:tr>
      <w:tr>
        <w:tc>
          <w:tcPr>
            <w:tcW w:type="dxa" w:w="1824"/>
          </w:tcPr>
          <w:p>
            <w:r>
              <w:rPr>
                <w:sz w:val="18"/>
              </w:rPr>
              <w:t>Zava Pharma</w:t>
            </w:r>
          </w:p>
        </w:tc>
        <w:tc>
          <w:tcPr>
            <w:tcW w:type="dxa" w:w="1824"/>
          </w:tcPr>
          <w:p>
            <w:r>
              <w:rPr>
                <w:sz w:val="18"/>
              </w:rPr>
              <w:t>38,000</w:t>
            </w:r>
          </w:p>
        </w:tc>
        <w:tc>
          <w:tcPr>
            <w:tcW w:type="dxa" w:w="1824"/>
          </w:tcPr>
          <w:p>
            <w:r>
              <w:rPr>
                <w:sz w:val="18"/>
              </w:rPr>
              <w:t>22,000</w:t>
            </w:r>
          </w:p>
        </w:tc>
        <w:tc>
          <w:tcPr>
            <w:tcW w:type="dxa" w:w="1824"/>
          </w:tcPr>
          <w:p>
            <w:r>
              <w:rPr>
                <w:sz w:val="18"/>
              </w:rPr>
              <w:t>Manufacturing, lab</w:t>
            </w:r>
          </w:p>
        </w:tc>
        <w:tc>
          <w:tcPr>
            <w:tcW w:type="dxa" w:w="1824"/>
          </w:tcPr>
          <w:p>
            <w:r>
              <w:rPr>
                <w:sz w:val="18"/>
              </w:rPr>
              <w:t>36,000 (-5%)</w:t>
            </w:r>
          </w:p>
        </w:tc>
      </w:tr>
      <w:tr>
        <w:tc>
          <w:tcPr>
            <w:tcW w:type="dxa" w:w="1824"/>
          </w:tcPr>
          <w:p>
            <w:r>
              <w:rPr>
                <w:sz w:val="18"/>
              </w:rPr>
              <w:t>Zava Trading</w:t>
            </w:r>
          </w:p>
        </w:tc>
        <w:tc>
          <w:tcPr>
            <w:tcW w:type="dxa" w:w="1824"/>
          </w:tcPr>
          <w:p>
            <w:r>
              <w:rPr>
                <w:sz w:val="18"/>
              </w:rPr>
              <w:t>4,000</w:t>
            </w:r>
          </w:p>
        </w:tc>
        <w:tc>
          <w:tcPr>
            <w:tcW w:type="dxa" w:w="1824"/>
          </w:tcPr>
          <w:p>
            <w:r>
              <w:rPr>
                <w:sz w:val="18"/>
              </w:rPr>
              <w:t>6,000</w:t>
            </w:r>
          </w:p>
        </w:tc>
        <w:tc>
          <w:tcPr>
            <w:tcW w:type="dxa" w:w="1824"/>
          </w:tcPr>
          <w:p>
            <w:r>
              <w:rPr>
                <w:sz w:val="18"/>
              </w:rPr>
              <w:t>Office, travel</w:t>
            </w:r>
          </w:p>
        </w:tc>
        <w:tc>
          <w:tcPr>
            <w:tcW w:type="dxa" w:w="1824"/>
          </w:tcPr>
          <w:p>
            <w:r>
              <w:rPr>
                <w:sz w:val="18"/>
              </w:rPr>
              <w:t>3,800 (-5%)</w:t>
            </w:r>
          </w:p>
        </w:tc>
      </w:tr>
      <w:tr>
        <w:tc>
          <w:tcPr>
            <w:tcW w:type="dxa" w:w="1824"/>
          </w:tcPr>
          <w:p>
            <w:r>
              <w:rPr>
                <w:sz w:val="18"/>
              </w:rPr>
              <w:t>Zava Properties</w:t>
            </w:r>
          </w:p>
        </w:tc>
        <w:tc>
          <w:tcPr>
            <w:tcW w:type="dxa" w:w="1824"/>
          </w:tcPr>
          <w:p>
            <w:r>
              <w:rPr>
                <w:sz w:val="18"/>
              </w:rPr>
              <w:t>96,000</w:t>
            </w:r>
          </w:p>
        </w:tc>
        <w:tc>
          <w:tcPr>
            <w:tcW w:type="dxa" w:w="1824"/>
          </w:tcPr>
          <w:p>
            <w:r>
              <w:rPr>
                <w:sz w:val="18"/>
              </w:rPr>
              <w:t>24,000</w:t>
            </w:r>
          </w:p>
        </w:tc>
        <w:tc>
          <w:tcPr>
            <w:tcW w:type="dxa" w:w="1824"/>
          </w:tcPr>
          <w:p>
            <w:r>
              <w:rPr>
                <w:sz w:val="18"/>
              </w:rPr>
              <w:t>Building operations</w:t>
            </w:r>
          </w:p>
        </w:tc>
        <w:tc>
          <w:tcPr>
            <w:tcW w:type="dxa" w:w="1824"/>
          </w:tcPr>
          <w:p>
            <w:r>
              <w:rPr>
                <w:sz w:val="18"/>
              </w:rPr>
              <w:t>90,000 (-6%)</w:t>
            </w:r>
          </w:p>
        </w:tc>
      </w:tr>
      <w:tr>
        <w:tc>
          <w:tcPr>
            <w:tcW w:type="dxa" w:w="1824"/>
          </w:tcPr>
          <w:p>
            <w:r>
              <w:rPr>
                <w:sz w:val="18"/>
              </w:rPr>
              <w:t>Zava Retail &amp; Hospitality</w:t>
            </w:r>
          </w:p>
        </w:tc>
        <w:tc>
          <w:tcPr>
            <w:tcW w:type="dxa" w:w="1824"/>
          </w:tcPr>
          <w:p>
            <w:r>
              <w:rPr>
                <w:sz w:val="18"/>
              </w:rPr>
              <w:t>180,000</w:t>
            </w:r>
          </w:p>
        </w:tc>
        <w:tc>
          <w:tcPr>
            <w:tcW w:type="dxa" w:w="1824"/>
          </w:tcPr>
          <w:p>
            <w:r>
              <w:rPr>
                <w:sz w:val="18"/>
              </w:rPr>
              <w:t>18,000</w:t>
            </w:r>
          </w:p>
        </w:tc>
        <w:tc>
          <w:tcPr>
            <w:tcW w:type="dxa" w:w="1824"/>
          </w:tcPr>
          <w:p>
            <w:r>
              <w:rPr>
                <w:sz w:val="18"/>
              </w:rPr>
              <w:t>Hotels, mall HVAC</w:t>
            </w:r>
          </w:p>
        </w:tc>
        <w:tc>
          <w:tcPr>
            <w:tcW w:type="dxa" w:w="1824"/>
          </w:tcPr>
          <w:p>
            <w:r>
              <w:rPr>
                <w:sz w:val="18"/>
              </w:rPr>
              <w:t>170,000 (-6%)</w:t>
            </w:r>
          </w:p>
        </w:tc>
      </w:tr>
      <w:tr>
        <w:tc>
          <w:tcPr>
            <w:tcW w:type="dxa" w:w="1824"/>
          </w:tcPr>
          <w:p>
            <w:r>
              <w:rPr>
                <w:sz w:val="18"/>
              </w:rPr>
              <w:t>Group/Holdings</w:t>
            </w:r>
          </w:p>
        </w:tc>
        <w:tc>
          <w:tcPr>
            <w:tcW w:type="dxa" w:w="1824"/>
          </w:tcPr>
          <w:p>
            <w:r>
              <w:rPr>
                <w:sz w:val="18"/>
              </w:rPr>
              <w:t>4,000</w:t>
            </w:r>
          </w:p>
        </w:tc>
        <w:tc>
          <w:tcPr>
            <w:tcW w:type="dxa" w:w="1824"/>
          </w:tcPr>
          <w:p>
            <w:r>
              <w:rPr>
                <w:sz w:val="18"/>
              </w:rPr>
              <w:t>5,000</w:t>
            </w:r>
          </w:p>
        </w:tc>
        <w:tc>
          <w:tcPr>
            <w:tcW w:type="dxa" w:w="1824"/>
          </w:tcPr>
          <w:p>
            <w:r>
              <w:rPr>
                <w:sz w:val="18"/>
              </w:rPr>
              <w:t>HQ operations</w:t>
            </w:r>
          </w:p>
        </w:tc>
        <w:tc>
          <w:tcPr>
            <w:tcW w:type="dxa" w:w="1824"/>
          </w:tcPr>
          <w:p>
            <w:r>
              <w:rPr>
                <w:sz w:val="18"/>
              </w:rPr>
              <w:t>3,800 (-5%)</w:t>
            </w:r>
          </w:p>
        </w:tc>
      </w:tr>
    </w:tbl>
    <w:p/>
    <w:p>
      <w:pPr>
        <w:spacing w:before="200" w:after="80"/>
      </w:pPr>
      <w:r>
        <w:rPr>
          <w:b/>
          <w:color w:val="00878A"/>
          <w:sz w:val="26"/>
        </w:rPr>
        <w:t>2.2 Net Zero Pathway to 2050</w:t>
      </w:r>
    </w:p>
    <w:p>
      <w:pPr>
        <w:spacing w:after="100"/>
      </w:pPr>
      <w:r>
        <w:rPr>
          <w:color w:val="1A1A2E"/>
          <w:sz w:val="21"/>
        </w:rPr>
        <w:t>Zava Group has committed to Net Zero Scope 1 and Scope 2 emissions by 2050, aligned with the Paris Agreement 1.5degC pathway. The roadmap follows a Science Based Targets initiative (SBTi) near-term and long-term approach.</w:t>
      </w:r>
    </w:p>
    <w:p>
      <w:pPr>
        <w:pStyle w:val="ListBullet"/>
        <w:spacing w:after="60"/>
        <w:ind w:left="360"/>
      </w:pPr>
      <w:r>
        <w:rPr>
          <w:color w:val="1A1A2E"/>
          <w:sz w:val="21"/>
        </w:rPr>
        <w:t>FY2025-2027 (Near-term): 45% absolute Scope 1+2 reduction vs FY2020 baseline (2.1M tCO2e target)</w:t>
      </w:r>
    </w:p>
    <w:p>
      <w:pPr>
        <w:pStyle w:val="ListBullet"/>
        <w:spacing w:after="60"/>
        <w:ind w:left="360"/>
      </w:pPr>
      <w:r>
        <w:rPr>
          <w:color w:val="1A1A2E"/>
          <w:sz w:val="21"/>
        </w:rPr>
        <w:t>FY2028-2035 (Mid-term): Deploy 280 MW renewable energy across MY and ID operations; retire coal boilers at Kertih complex</w:t>
      </w:r>
    </w:p>
    <w:p>
      <w:pPr>
        <w:pStyle w:val="ListBullet"/>
        <w:spacing w:after="60"/>
        <w:ind w:left="360"/>
      </w:pPr>
      <w:r>
        <w:rPr>
          <w:color w:val="1A1A2E"/>
          <w:sz w:val="21"/>
        </w:rPr>
        <w:t>FY2036-2050 (Long-term): Residual emissions offset via ASEAN voluntary carbon market (VCM); explore bioenergy with CCS (BECCS) for Agribusiness</w:t>
      </w:r>
    </w:p>
    <w:p>
      <w:pPr>
        <w:pStyle w:val="ListBullet"/>
        <w:spacing w:after="60"/>
        <w:ind w:left="360"/>
      </w:pPr>
      <w:r>
        <w:rPr>
          <w:color w:val="1A1A2E"/>
          <w:sz w:val="21"/>
        </w:rPr>
        <w:t>Perkebunan Lestari peat rewetting: Priority action -- 8,200 ha peatland restoration will reduce Scope 1 by ~420,000 tCO2e/yr once fully implemented</w:t>
      </w:r>
    </w:p>
    <w:p>
      <w:pPr>
        <w:pStyle w:val="ListBullet"/>
        <w:spacing w:after="60"/>
        <w:ind w:left="360"/>
      </w:pPr>
      <w:r>
        <w:rPr>
          <w:color w:val="1A1A2E"/>
          <w:sz w:val="21"/>
        </w:rPr>
        <w:t>Carbon price sensitivity: Group models at MYR 80/tCO2e (current EU ETS ~EUR 60-65) for internal carbon pricing decisions</w:t>
      </w:r>
    </w:p>
    <w:p>
      <w:pPr>
        <w:spacing w:before="200" w:after="80"/>
      </w:pPr>
      <w:r>
        <w:rPr>
          <w:b/>
          <w:color w:val="00878A"/>
          <w:sz w:val="26"/>
        </w:rPr>
        <w:t>2.3 TCFD Climate Risk Scenarios</w:t>
      </w:r>
    </w:p>
    <w:p>
      <w:pPr>
        <w:spacing w:after="100"/>
      </w:pPr>
      <w:r>
        <w:rPr>
          <w:color w:val="1A1A2E"/>
          <w:sz w:val="21"/>
        </w:rPr>
        <w:t>Zava Group has assessed physical and transition climate risks under three IPCC-aligned scenarios: +1.5degC (Orderly Transition), +2degC (Disorderly Transition), and +4degC (High Physical Risk / Hothouse World).</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tc>
        <w:tc>
          <w:tcPr>
            <w:tcW w:type="dxa" w:w="2280"/>
          </w:tcPr>
          <w:p/>
        </w:tc>
        <w:tc>
          <w:tcPr>
            <w:tcW w:type="dxa" w:w="2280"/>
          </w:tcPr>
          <w:p/>
        </w:tc>
        <w:tc>
          <w:tcPr>
            <w:tcW w:type="dxa" w:w="2280"/>
          </w:tcPr>
          <w:p/>
        </w:tc>
      </w:tr>
      <w:tr>
        <w:tc>
          <w:tcPr>
            <w:tcW w:type="dxa" w:w="2280"/>
            <w:shd w:val="clear" w:color="auto" w:fill="1F2D55"/>
          </w:tcPr>
          <w:p>
            <w:r>
              <w:rPr>
                <w:b/>
                <w:sz w:val="18"/>
              </w:rPr>
              <w:t>Risk Category</w:t>
            </w:r>
          </w:p>
        </w:tc>
        <w:tc>
          <w:tcPr>
            <w:tcW w:type="dxa" w:w="2280"/>
            <w:shd w:val="clear" w:color="auto" w:fill="1F2D55"/>
          </w:tcPr>
          <w:p>
            <w:r>
              <w:rPr>
                <w:b/>
                <w:sz w:val="18"/>
              </w:rPr>
              <w:t>1.5C Impact</w:t>
            </w:r>
          </w:p>
        </w:tc>
        <w:tc>
          <w:tcPr>
            <w:tcW w:type="dxa" w:w="2280"/>
            <w:shd w:val="clear" w:color="auto" w:fill="1F2D55"/>
          </w:tcPr>
          <w:p>
            <w:r>
              <w:rPr>
                <w:b/>
                <w:sz w:val="18"/>
              </w:rPr>
              <w:t>2C Impact</w:t>
            </w:r>
          </w:p>
        </w:tc>
        <w:tc>
          <w:tcPr>
            <w:tcW w:type="dxa" w:w="2280"/>
            <w:shd w:val="clear" w:color="auto" w:fill="1F2D55"/>
          </w:tcPr>
          <w:p>
            <w:r>
              <w:rPr>
                <w:b/>
                <w:sz w:val="18"/>
              </w:rPr>
              <w:t>4C Impact</w:t>
            </w:r>
          </w:p>
        </w:tc>
      </w:tr>
      <w:tr>
        <w:tc>
          <w:tcPr>
            <w:tcW w:type="dxa" w:w="2280"/>
          </w:tcPr>
          <w:p>
            <w:r>
              <w:rPr>
                <w:sz w:val="18"/>
              </w:rPr>
              <w:t>CPO Yield (Agribusiness)</w:t>
            </w:r>
          </w:p>
        </w:tc>
        <w:tc>
          <w:tcPr>
            <w:tcW w:type="dxa" w:w="2280"/>
          </w:tcPr>
          <w:p>
            <w:r>
              <w:rPr>
                <w:sz w:val="18"/>
              </w:rPr>
              <w:t>Minimal (&lt;2% reduction)</w:t>
            </w:r>
          </w:p>
        </w:tc>
        <w:tc>
          <w:tcPr>
            <w:tcW w:type="dxa" w:w="2280"/>
          </w:tcPr>
          <w:p>
            <w:r>
              <w:rPr>
                <w:sz w:val="18"/>
              </w:rPr>
              <w:t>5-8% reduction (drought stress)</w:t>
            </w:r>
          </w:p>
        </w:tc>
        <w:tc>
          <w:tcPr>
            <w:tcW w:type="dxa" w:w="2280"/>
          </w:tcPr>
          <w:p>
            <w:r>
              <w:rPr>
                <w:sz w:val="18"/>
              </w:rPr>
              <w:t>18-24% reduction (extreme heat, floods)</w:t>
            </w:r>
          </w:p>
        </w:tc>
      </w:tr>
      <w:tr>
        <w:tc>
          <w:tcPr>
            <w:tcW w:type="dxa" w:w="2280"/>
          </w:tcPr>
          <w:p>
            <w:r>
              <w:rPr>
                <w:sz w:val="18"/>
              </w:rPr>
              <w:t>Chemicals Asset Value</w:t>
            </w:r>
          </w:p>
        </w:tc>
        <w:tc>
          <w:tcPr>
            <w:tcW w:type="dxa" w:w="2280"/>
          </w:tcPr>
          <w:p>
            <w:r>
              <w:rPr>
                <w:sz w:val="18"/>
              </w:rPr>
              <w:t>EU carbon border adjustment MYR 85M/yr</w:t>
            </w:r>
          </w:p>
        </w:tc>
        <w:tc>
          <w:tcPr>
            <w:tcW w:type="dxa" w:w="2280"/>
          </w:tcPr>
          <w:p>
            <w:r>
              <w:rPr>
                <w:sz w:val="18"/>
              </w:rPr>
              <w:t>MYR 180M/yr CBAM impact</w:t>
            </w:r>
          </w:p>
        </w:tc>
        <w:tc>
          <w:tcPr>
            <w:tcW w:type="dxa" w:w="2280"/>
          </w:tcPr>
          <w:p>
            <w:r>
              <w:rPr>
                <w:sz w:val="18"/>
              </w:rPr>
              <w:t>Physical asset damage MYR 420M (Cilegon coastal flooding)</w:t>
            </w:r>
          </w:p>
        </w:tc>
      </w:tr>
      <w:tr>
        <w:tc>
          <w:tcPr>
            <w:tcW w:type="dxa" w:w="2280"/>
          </w:tcPr>
          <w:p>
            <w:r>
              <w:rPr>
                <w:sz w:val="18"/>
              </w:rPr>
              <w:t>Financial Services NPL</w:t>
            </w:r>
          </w:p>
        </w:tc>
        <w:tc>
          <w:tcPr>
            <w:tcW w:type="dxa" w:w="2280"/>
          </w:tcPr>
          <w:p>
            <w:r>
              <w:rPr>
                <w:sz w:val="18"/>
              </w:rPr>
              <w:t>Credit risk from corporate clients +0.4%</w:t>
            </w:r>
          </w:p>
        </w:tc>
        <w:tc>
          <w:tcPr>
            <w:tcW w:type="dxa" w:w="2280"/>
          </w:tcPr>
          <w:p>
            <w:r>
              <w:rPr>
                <w:sz w:val="18"/>
              </w:rPr>
              <w:t>+1.2% NPL from climate-exposed sectors</w:t>
            </w:r>
          </w:p>
        </w:tc>
        <w:tc>
          <w:tcPr>
            <w:tcW w:type="dxa" w:w="2280"/>
          </w:tcPr>
          <w:p>
            <w:r>
              <w:rPr>
                <w:sz w:val="18"/>
              </w:rPr>
              <w:t>+3.8% NPL; impaired collateral values</w:t>
            </w:r>
          </w:p>
        </w:tc>
      </w:tr>
      <w:tr>
        <w:tc>
          <w:tcPr>
            <w:tcW w:type="dxa" w:w="2280"/>
          </w:tcPr>
          <w:p>
            <w:r>
              <w:rPr>
                <w:sz w:val="18"/>
              </w:rPr>
              <w:t>Supply Chain</w:t>
            </w:r>
          </w:p>
        </w:tc>
        <w:tc>
          <w:tcPr>
            <w:tcW w:type="dxa" w:w="2280"/>
          </w:tcPr>
          <w:p>
            <w:r>
              <w:rPr>
                <w:sz w:val="18"/>
              </w:rPr>
              <w:t>Supplier EUDR compliance cost MYR 42M</w:t>
            </w:r>
          </w:p>
        </w:tc>
        <w:tc>
          <w:tcPr>
            <w:tcW w:type="dxa" w:w="2280"/>
          </w:tcPr>
          <w:p>
            <w:r>
              <w:rPr>
                <w:sz w:val="18"/>
              </w:rPr>
              <w:t>Feedstock disruption: PKO -12%</w:t>
            </w:r>
          </w:p>
        </w:tc>
        <w:tc>
          <w:tcPr>
            <w:tcW w:type="dxa" w:w="2280"/>
          </w:tcPr>
          <w:p>
            <w:r>
              <w:rPr>
                <w:sz w:val="18"/>
              </w:rPr>
              <w:t>Supply chain breakdown; force majeure events</w:t>
            </w:r>
          </w:p>
        </w:tc>
      </w:tr>
      <w:tr>
        <w:tc>
          <w:tcPr>
            <w:tcW w:type="dxa" w:w="2280"/>
          </w:tcPr>
          <w:p>
            <w:r>
              <w:rPr>
                <w:sz w:val="18"/>
              </w:rPr>
              <w:t>Regulatory</w:t>
            </w:r>
          </w:p>
        </w:tc>
        <w:tc>
          <w:tcPr>
            <w:tcW w:type="dxa" w:w="2280"/>
          </w:tcPr>
          <w:p>
            <w:r>
              <w:rPr>
                <w:sz w:val="18"/>
              </w:rPr>
              <w:t>Carbon tax MY IDR aligned 2026</w:t>
            </w:r>
          </w:p>
        </w:tc>
        <w:tc>
          <w:tcPr>
            <w:tcW w:type="dxa" w:w="2280"/>
          </w:tcPr>
          <w:p>
            <w:r>
              <w:rPr>
                <w:sz w:val="18"/>
              </w:rPr>
              <w:t>Mandatory SBTi for listed cos 2027</w:t>
            </w:r>
          </w:p>
        </w:tc>
        <w:tc>
          <w:tcPr>
            <w:tcW w:type="dxa" w:w="2280"/>
          </w:tcPr>
          <w:p>
            <w:r>
              <w:rPr>
                <w:sz w:val="18"/>
              </w:rPr>
              <w:t>Mandatory net zero plan or delisting risk</w:t>
            </w:r>
          </w:p>
        </w:tc>
      </w:tr>
    </w:tbl>
    <w:p/>
    <w:p>
      <w:r>
        <w:br w:type="page"/>
      </w:r>
    </w:p>
    <w:p>
      <w:pPr>
        <w:spacing w:before="360" w:after="120"/>
      </w:pPr>
      <w:r>
        <w:rPr>
          <w:b/>
          <w:color w:val="1F2D55"/>
          <w:sz w:val="32"/>
        </w:rPr>
        <w:t>Section 3: Deforestation, Peat &amp; Biodiversity (EUDR/NDPE)</w:t>
      </w:r>
    </w:p>
    <w:p>
      <w:pPr>
        <w:spacing w:before="200" w:after="80"/>
      </w:pPr>
      <w:r>
        <w:rPr>
          <w:b/>
          <w:color w:val="00878A"/>
          <w:sz w:val="26"/>
        </w:rPr>
        <w:t>3.1 NDPE Policy</w:t>
      </w:r>
    </w:p>
    <w:p>
      <w:pPr>
        <w:spacing w:after="100"/>
      </w:pPr>
      <w:r>
        <w:rPr>
          <w:color w:val="1A1A2E"/>
          <w:sz w:val="21"/>
        </w:rPr>
        <w:t>Zava Group adopted a full No Deforestation, No Peat, No Exploitation (NDPE) policy in 2021, covering 100% of Zava-operated and third-party supplied palm oil. The policy is enforced through supplier onboarding, GPS traceability, and annual third-party audits.</w:t>
      </w:r>
    </w:p>
    <w:p>
      <w:pPr>
        <w:pStyle w:val="ListBullet"/>
        <w:spacing w:after="60"/>
        <w:ind w:left="360"/>
      </w:pPr>
      <w:r>
        <w:rPr>
          <w:color w:val="1A1A2E"/>
          <w:sz w:val="21"/>
        </w:rPr>
        <w:t>No Deforestation: Zero conversion of High Conservation Value (HCV) or High Carbon Stock (HCS) forest</w:t>
      </w:r>
    </w:p>
    <w:p>
      <w:pPr>
        <w:pStyle w:val="ListBullet"/>
        <w:spacing w:after="60"/>
        <w:ind w:left="360"/>
      </w:pPr>
      <w:r>
        <w:rPr>
          <w:color w:val="1A1A2E"/>
          <w:sz w:val="21"/>
        </w:rPr>
        <w:t>No Peat: No new development on peatland of any depth; existing peatland operations under mandatory restoration review</w:t>
      </w:r>
    </w:p>
    <w:p>
      <w:pPr>
        <w:pStyle w:val="ListBullet"/>
        <w:spacing w:after="60"/>
        <w:ind w:left="360"/>
      </w:pPr>
      <w:r>
        <w:rPr>
          <w:color w:val="1A1A2E"/>
          <w:sz w:val="21"/>
        </w:rPr>
        <w:t>No Exploitation: ILO core labour standards; no child labour; no forced labour; free prior and informed consent (FPIC) for communities</w:t>
      </w:r>
    </w:p>
    <w:p>
      <w:pPr>
        <w:pStyle w:val="ListBullet"/>
        <w:spacing w:after="60"/>
        <w:ind w:left="360"/>
      </w:pPr>
      <w:r>
        <w:rPr>
          <w:color w:val="1A1A2E"/>
          <w:sz w:val="21"/>
        </w:rPr>
        <w:t>Scope: 100% own operations + 100% of third-party FFB suppliers by FY2025</w:t>
      </w:r>
    </w:p>
    <w:p>
      <w:pPr>
        <w:pStyle w:val="ListBullet"/>
        <w:spacing w:after="60"/>
        <w:ind w:left="360"/>
      </w:pPr>
      <w:r>
        <w:rPr>
          <w:color w:val="1A1A2E"/>
          <w:sz w:val="21"/>
        </w:rPr>
        <w:t>Grievance mechanism: Public grievance tracker on Zava Group website; 48-hour acknowledgement SLA</w:t>
      </w:r>
    </w:p>
    <w:p>
      <w:pPr>
        <w:spacing w:before="200" w:after="80"/>
      </w:pPr>
      <w:r>
        <w:rPr>
          <w:b/>
          <w:color w:val="00878A"/>
          <w:sz w:val="26"/>
        </w:rPr>
        <w:t>3.2 Perkebunan Lestari -- CRITICAL ISSUE</w:t>
      </w:r>
    </w:p>
    <w:p>
      <w:pPr>
        <w:spacing w:after="100"/>
      </w:pPr>
      <w:r>
        <w:rPr>
          <w:color w:val="1A1A2E"/>
          <w:sz w:val="21"/>
        </w:rPr>
        <w:t>Perkebunan Lestari (East Kalimantan, 11,200 ha) is the most significant sustainability issue facing Zava Group. The RSPO suspended the estate's certification in September 2024 following an RSPO Complaints Panel finding of 4 Major Nonconformances.</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tc>
        <w:tc>
          <w:tcPr>
            <w:tcW w:type="dxa" w:w="2280"/>
          </w:tcPr>
          <w:p/>
        </w:tc>
        <w:tc>
          <w:tcPr>
            <w:tcW w:type="dxa" w:w="2280"/>
          </w:tcPr>
          <w:p/>
        </w:tc>
        <w:tc>
          <w:tcPr>
            <w:tcW w:type="dxa" w:w="2280"/>
          </w:tcPr>
          <w:p/>
        </w:tc>
      </w:tr>
      <w:tr>
        <w:tc>
          <w:tcPr>
            <w:tcW w:type="dxa" w:w="2280"/>
            <w:shd w:val="clear" w:color="auto" w:fill="C0392B"/>
          </w:tcPr>
          <w:p>
            <w:r>
              <w:rPr>
                <w:b/>
                <w:sz w:val="18"/>
              </w:rPr>
              <w:t>NC Ref</w:t>
            </w:r>
          </w:p>
        </w:tc>
        <w:tc>
          <w:tcPr>
            <w:tcW w:type="dxa" w:w="2280"/>
            <w:shd w:val="clear" w:color="auto" w:fill="C0392B"/>
          </w:tcPr>
          <w:p>
            <w:r>
              <w:rPr>
                <w:b/>
                <w:sz w:val="18"/>
              </w:rPr>
              <w:t>Category</w:t>
            </w:r>
          </w:p>
        </w:tc>
        <w:tc>
          <w:tcPr>
            <w:tcW w:type="dxa" w:w="2280"/>
            <w:shd w:val="clear" w:color="auto" w:fill="C0392B"/>
          </w:tcPr>
          <w:p>
            <w:r>
              <w:rPr>
                <w:b/>
                <w:sz w:val="18"/>
              </w:rPr>
              <w:t>Finding</w:t>
            </w:r>
          </w:p>
        </w:tc>
        <w:tc>
          <w:tcPr>
            <w:tcW w:type="dxa" w:w="2280"/>
            <w:shd w:val="clear" w:color="auto" w:fill="C0392B"/>
          </w:tcPr>
          <w:p>
            <w:r>
              <w:rPr>
                <w:b/>
                <w:sz w:val="18"/>
              </w:rPr>
              <w:t>Remediation Deadline</w:t>
            </w:r>
          </w:p>
        </w:tc>
      </w:tr>
      <w:tr>
        <w:tc>
          <w:tcPr>
            <w:tcW w:type="dxa" w:w="2280"/>
            <w:shd w:val="clear" w:color="auto" w:fill="FFF3CD"/>
          </w:tcPr>
          <w:p>
            <w:r>
              <w:rPr>
                <w:sz w:val="18"/>
              </w:rPr>
              <w:t>NC-PL-01</w:t>
            </w:r>
          </w:p>
        </w:tc>
        <w:tc>
          <w:tcPr>
            <w:tcW w:type="dxa" w:w="2280"/>
            <w:shd w:val="clear" w:color="auto" w:fill="FFF3CD"/>
          </w:tcPr>
          <w:p>
            <w:r>
              <w:rPr>
                <w:sz w:val="18"/>
              </w:rPr>
              <w:t>No Peat</w:t>
            </w:r>
          </w:p>
        </w:tc>
        <w:tc>
          <w:tcPr>
            <w:tcW w:type="dxa" w:w="2280"/>
            <w:shd w:val="clear" w:color="auto" w:fill="FFF3CD"/>
          </w:tcPr>
          <w:p>
            <w:r>
              <w:rPr>
                <w:sz w:val="18"/>
              </w:rPr>
              <w:t>8,200 ha of active cultivation overlaps peatland &gt;3m depth (RSPO P&amp;C 2018 Criterion 4.3)</w:t>
            </w:r>
          </w:p>
        </w:tc>
        <w:tc>
          <w:tcPr>
            <w:tcW w:type="dxa" w:w="2280"/>
            <w:shd w:val="clear" w:color="auto" w:fill="FFF3CD"/>
          </w:tcPr>
          <w:p>
            <w:r>
              <w:rPr>
                <w:sz w:val="18"/>
              </w:rPr>
              <w:t>Dec 2025 (peat rewetting plan submitted)</w:t>
            </w:r>
          </w:p>
        </w:tc>
      </w:tr>
      <w:tr>
        <w:tc>
          <w:tcPr>
            <w:tcW w:type="dxa" w:w="2280"/>
            <w:shd w:val="clear" w:color="auto" w:fill="FFF3CD"/>
          </w:tcPr>
          <w:p>
            <w:r>
              <w:rPr>
                <w:sz w:val="18"/>
              </w:rPr>
              <w:t>NC-PL-02</w:t>
            </w:r>
          </w:p>
        </w:tc>
        <w:tc>
          <w:tcPr>
            <w:tcW w:type="dxa" w:w="2280"/>
            <w:shd w:val="clear" w:color="auto" w:fill="FFF3CD"/>
          </w:tcPr>
          <w:p>
            <w:r>
              <w:rPr>
                <w:sz w:val="18"/>
              </w:rPr>
              <w:t>No Deforestation</w:t>
            </w:r>
          </w:p>
        </w:tc>
        <w:tc>
          <w:tcPr>
            <w:tcW w:type="dxa" w:w="2280"/>
            <w:shd w:val="clear" w:color="auto" w:fill="FFF3CD"/>
          </w:tcPr>
          <w:p>
            <w:r>
              <w:rPr>
                <w:sz w:val="18"/>
              </w:rPr>
              <w:t>42 ha of HCS forest converted in FY2023 without HCS assessment (P&amp;C Criterion 7.3)</w:t>
            </w:r>
          </w:p>
        </w:tc>
        <w:tc>
          <w:tcPr>
            <w:tcW w:type="dxa" w:w="2280"/>
            <w:shd w:val="clear" w:color="auto" w:fill="FFF3CD"/>
          </w:tcPr>
          <w:p>
            <w:r>
              <w:rPr>
                <w:sz w:val="18"/>
              </w:rPr>
              <w:t>Jun 2025 (remediation + replanting 42 ha)</w:t>
            </w:r>
          </w:p>
        </w:tc>
      </w:tr>
      <w:tr>
        <w:tc>
          <w:tcPr>
            <w:tcW w:type="dxa" w:w="2280"/>
            <w:shd w:val="clear" w:color="auto" w:fill="FFF3CD"/>
          </w:tcPr>
          <w:p>
            <w:r>
              <w:rPr>
                <w:sz w:val="18"/>
              </w:rPr>
              <w:t>NC-PL-03</w:t>
            </w:r>
          </w:p>
        </w:tc>
        <w:tc>
          <w:tcPr>
            <w:tcW w:type="dxa" w:w="2280"/>
            <w:shd w:val="clear" w:color="auto" w:fill="FFF3CD"/>
          </w:tcPr>
          <w:p>
            <w:r>
              <w:rPr>
                <w:sz w:val="18"/>
              </w:rPr>
              <w:t>Worker Rights</w:t>
            </w:r>
          </w:p>
        </w:tc>
        <w:tc>
          <w:tcPr>
            <w:tcW w:type="dxa" w:w="2280"/>
            <w:shd w:val="clear" w:color="auto" w:fill="FFF3CD"/>
          </w:tcPr>
          <w:p>
            <w:r>
              <w:rPr>
                <w:sz w:val="18"/>
              </w:rPr>
              <w:t>24 Indonesian migrant workers found with passports held by contractor (ILO Forced Labour Convention 29)</w:t>
            </w:r>
          </w:p>
        </w:tc>
        <w:tc>
          <w:tcPr>
            <w:tcW w:type="dxa" w:w="2280"/>
            <w:shd w:val="clear" w:color="auto" w:fill="FFF3CD"/>
          </w:tcPr>
          <w:p>
            <w:r>
              <w:rPr>
                <w:sz w:val="18"/>
              </w:rPr>
              <w:t>Mar 2025 (passports returned; contractor terminated)</w:t>
            </w:r>
          </w:p>
        </w:tc>
      </w:tr>
      <w:tr>
        <w:tc>
          <w:tcPr>
            <w:tcW w:type="dxa" w:w="2280"/>
            <w:shd w:val="clear" w:color="auto" w:fill="FFF3CD"/>
          </w:tcPr>
          <w:p>
            <w:r>
              <w:rPr>
                <w:sz w:val="18"/>
              </w:rPr>
              <w:t>NC-PL-04</w:t>
            </w:r>
          </w:p>
        </w:tc>
        <w:tc>
          <w:tcPr>
            <w:tcW w:type="dxa" w:w="2280"/>
            <w:shd w:val="clear" w:color="auto" w:fill="FFF3CD"/>
          </w:tcPr>
          <w:p>
            <w:r>
              <w:rPr>
                <w:sz w:val="18"/>
              </w:rPr>
              <w:t>EUDR Compliance</w:t>
            </w:r>
          </w:p>
        </w:tc>
        <w:tc>
          <w:tcPr>
            <w:tcW w:type="dxa" w:w="2280"/>
            <w:shd w:val="clear" w:color="auto" w:fill="FFF3CD"/>
          </w:tcPr>
          <w:p>
            <w:r>
              <w:rPr>
                <w:sz w:val="18"/>
              </w:rPr>
              <w:t>No geolocation plot maps submitted; estate fails EUDR Article 3 due diligence requirements</w:t>
            </w:r>
          </w:p>
        </w:tc>
        <w:tc>
          <w:tcPr>
            <w:tcW w:type="dxa" w:w="2280"/>
            <w:shd w:val="clear" w:color="auto" w:fill="FFF3CD"/>
          </w:tcPr>
          <w:p>
            <w:r>
              <w:rPr>
                <w:sz w:val="18"/>
              </w:rPr>
              <w:t>Sep 2025 (full GPS mapping + declaration)</w:t>
            </w:r>
          </w:p>
        </w:tc>
      </w:tr>
    </w:tbl>
    <w:p/>
    <w:p>
      <w:pPr>
        <w:spacing w:after="100"/>
      </w:pPr>
      <w:r>
        <w:rPr>
          <w:color w:val="1A1A2E"/>
          <w:sz w:val="21"/>
        </w:rPr>
        <w:t>STATUS UPDATE (as at Q1 FY2025): NC-PL-03 (worker rights) remediated -- passports returned, contractor removed, 24 workers compensated. NC-PL-01, NC-PL-02, NC-PL-04 remain open. RSPO Secretariat briefed Feb 2025 on remediation progress. Production suspended since Oct 2024 pending certification restoration.</w:t>
      </w:r>
    </w:p>
    <w:p>
      <w:pPr>
        <w:spacing w:after="80"/>
      </w:pPr>
      <w:r>
        <w:rPr>
          <w:b/>
          <w:color w:val="167A48"/>
          <w:sz w:val="20"/>
        </w:rPr>
        <w:t xml:space="preserve">Financial Impact: </w:t>
      </w:r>
      <w:r>
        <w:rPr>
          <w:color w:val="1A1A2E"/>
          <w:sz w:val="20"/>
        </w:rPr>
        <w:t>Revenue loss from Lestari suspension: MYR 148M/yr | Remediation cost estimate: MYR 85M (peat rewetting + replanting) | RSPO certification restoration estimated: Q4 FY2025 (optimistic)</w:t>
      </w:r>
    </w:p>
    <w:p>
      <w:pPr>
        <w:spacing w:before="200" w:after="80"/>
      </w:pPr>
      <w:r>
        <w:rPr>
          <w:b/>
          <w:color w:val="00878A"/>
          <w:sz w:val="26"/>
        </w:rPr>
        <w:t>3.3 EUDR Compliance Programme</w:t>
      </w:r>
    </w:p>
    <w:p>
      <w:pPr>
        <w:spacing w:after="100"/>
      </w:pPr>
      <w:r>
        <w:rPr>
          <w:color w:val="1A1A2E"/>
          <w:sz w:val="21"/>
        </w:rPr>
        <w:t>The EU Deforestation Regulation (EUDR) entered into force June 2023; large operators must comply by 30 December 2025. Zava Group's palm oil exports to the EU represent MYR 420M annual revenue at risk.</w:t>
      </w:r>
    </w:p>
    <w:p>
      <w:pPr>
        <w:pStyle w:val="ListBullet"/>
        <w:spacing w:after="60"/>
        <w:ind w:left="360"/>
      </w:pPr>
      <w:r>
        <w:rPr>
          <w:color w:val="1A1A2E"/>
          <w:sz w:val="21"/>
        </w:rPr>
        <w:t>GPS boundary mapping: All 12 estates + 284 third-party supplier plots (73,420 ha total) by Q3 FY2025</w:t>
      </w:r>
    </w:p>
    <w:p>
      <w:pPr>
        <w:pStyle w:val="ListBullet"/>
        <w:spacing w:after="60"/>
        <w:ind w:left="360"/>
      </w:pPr>
      <w:r>
        <w:rPr>
          <w:color w:val="1A1A2E"/>
          <w:sz w:val="21"/>
        </w:rPr>
        <w:t>Deforestation-free verification: Satellite monitoring via Planet Labs and Global Forest Watch integration</w:t>
      </w:r>
    </w:p>
    <w:p>
      <w:pPr>
        <w:pStyle w:val="ListBullet"/>
        <w:spacing w:after="60"/>
        <w:ind w:left="360"/>
      </w:pPr>
      <w:r>
        <w:rPr>
          <w:color w:val="1A1A2E"/>
          <w:sz w:val="21"/>
        </w:rPr>
        <w:t>Due diligence statements: Prepared and submitted to EU customs for each shipment batch</w:t>
      </w:r>
    </w:p>
    <w:p>
      <w:pPr>
        <w:pStyle w:val="ListBullet"/>
        <w:spacing w:after="60"/>
        <w:ind w:left="360"/>
      </w:pPr>
      <w:r>
        <w:rPr>
          <w:color w:val="1A1A2E"/>
          <w:sz w:val="21"/>
        </w:rPr>
        <w:t>Smallholder inclusion: 2,840 registered smallholders in MY and ID must be GPS-mapped and EUDR-compliant by Dec 2025</w:t>
      </w:r>
    </w:p>
    <w:p>
      <w:pPr>
        <w:pStyle w:val="ListBullet"/>
        <w:spacing w:after="60"/>
        <w:ind w:left="360"/>
      </w:pPr>
      <w:r>
        <w:rPr>
          <w:color w:val="1A1A2E"/>
          <w:sz w:val="21"/>
        </w:rPr>
        <w:t>Risk: Indonesia government-level EUDR negotiations may grant partial compliance timeline extension</w:t>
      </w:r>
    </w:p>
    <w:p>
      <w:r>
        <w:br w:type="page"/>
      </w:r>
    </w:p>
    <w:p>
      <w:pPr>
        <w:spacing w:before="360" w:after="120"/>
      </w:pPr>
      <w:r>
        <w:rPr>
          <w:b/>
          <w:color w:val="1F2D55"/>
          <w:sz w:val="32"/>
        </w:rPr>
        <w:t>Section 4: RSPO &amp; ISPO Certification Status</w:t>
      </w:r>
    </w:p>
    <w:p>
      <w:pPr>
        <w:spacing w:after="100"/>
      </w:pPr>
      <w:r>
        <w:rPr>
          <w:color w:val="1A1A2E"/>
          <w:sz w:val="21"/>
        </w:rPr>
        <w:t>As at Q1 FY2025, Zava Group has 67.4% of its operated planted area under active RSPO or ISPO certification. The FY2026 target is 100% RSPO or equivalent certification across all 12 estates.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tc>
        <w:tc>
          <w:tcPr>
            <w:tcW w:type="dxa" w:w="1824"/>
          </w:tcPr>
          <w:p/>
        </w:tc>
        <w:tc>
          <w:tcPr>
            <w:tcW w:type="dxa" w:w="1824"/>
          </w:tcPr>
          <w:p/>
        </w:tc>
        <w:tc>
          <w:tcPr>
            <w:tcW w:type="dxa" w:w="1824"/>
          </w:tcPr>
          <w:p/>
        </w:tc>
        <w:tc>
          <w:tcPr>
            <w:tcW w:type="dxa" w:w="1824"/>
          </w:tcPr>
          <w:p/>
        </w:tc>
      </w:tr>
      <w:tr>
        <w:tc>
          <w:tcPr>
            <w:tcW w:type="dxa" w:w="1824"/>
            <w:shd w:val="clear" w:color="auto" w:fill="1F2D55"/>
          </w:tcPr>
          <w:p>
            <w:r>
              <w:rPr>
                <w:b/>
                <w:sz w:val="18"/>
              </w:rPr>
              <w:t>Estate</w:t>
            </w:r>
          </w:p>
        </w:tc>
        <w:tc>
          <w:tcPr>
            <w:tcW w:type="dxa" w:w="1824"/>
            <w:shd w:val="clear" w:color="auto" w:fill="1F2D55"/>
          </w:tcPr>
          <w:p>
            <w:r>
              <w:rPr>
                <w:b/>
                <w:sz w:val="18"/>
              </w:rPr>
              <w:t>Country</w:t>
            </w:r>
          </w:p>
        </w:tc>
        <w:tc>
          <w:tcPr>
            <w:tcW w:type="dxa" w:w="1824"/>
            <w:shd w:val="clear" w:color="auto" w:fill="1F2D55"/>
          </w:tcPr>
          <w:p>
            <w:r>
              <w:rPr>
                <w:b/>
                <w:sz w:val="18"/>
              </w:rPr>
              <w:t>Planted Area (ha)</w:t>
            </w:r>
          </w:p>
        </w:tc>
        <w:tc>
          <w:tcPr>
            <w:tcW w:type="dxa" w:w="1824"/>
            <w:shd w:val="clear" w:color="auto" w:fill="1F2D55"/>
          </w:tcPr>
          <w:p>
            <w:r>
              <w:rPr>
                <w:b/>
                <w:sz w:val="18"/>
              </w:rPr>
              <w:t>Certification</w:t>
            </w:r>
          </w:p>
        </w:tc>
        <w:tc>
          <w:tcPr>
            <w:tcW w:type="dxa" w:w="1824"/>
            <w:shd w:val="clear" w:color="auto" w:fill="1F2D55"/>
          </w:tcPr>
          <w:p>
            <w:r>
              <w:rPr>
                <w:b/>
                <w:sz w:val="18"/>
              </w:rPr>
              <w:t>Status</w:t>
            </w:r>
          </w:p>
        </w:tc>
      </w:tr>
      <w:tr>
        <w:tc>
          <w:tcPr>
            <w:tcW w:type="dxa" w:w="1824"/>
          </w:tcPr>
          <w:p>
            <w:r>
              <w:rPr>
                <w:sz w:val="18"/>
              </w:rPr>
              <w:t>Ladang Hijau Mas</w:t>
            </w:r>
          </w:p>
        </w:tc>
        <w:tc>
          <w:tcPr>
            <w:tcW w:type="dxa" w:w="1824"/>
          </w:tcPr>
          <w:p>
            <w:r>
              <w:rPr>
                <w:sz w:val="18"/>
              </w:rPr>
              <w:t>Malaysia</w:t>
            </w:r>
          </w:p>
        </w:tc>
        <w:tc>
          <w:tcPr>
            <w:tcW w:type="dxa" w:w="1824"/>
          </w:tcPr>
          <w:p>
            <w:r>
              <w:rPr>
                <w:sz w:val="18"/>
              </w:rPr>
              <w:t>8,100</w:t>
            </w:r>
          </w:p>
        </w:tc>
        <w:tc>
          <w:tcPr>
            <w:tcW w:type="dxa" w:w="1824"/>
          </w:tcPr>
          <w:p>
            <w:r>
              <w:rPr>
                <w:sz w:val="18"/>
              </w:rPr>
              <w:t>RSPO Certified</w:t>
            </w:r>
          </w:p>
        </w:tc>
        <w:tc>
          <w:tcPr>
            <w:tcW w:type="dxa" w:w="1824"/>
          </w:tcPr>
          <w:p>
            <w:r>
              <w:rPr>
                <w:sz w:val="18"/>
              </w:rPr>
              <w:t>Active</w:t>
            </w:r>
          </w:p>
        </w:tc>
      </w:tr>
      <w:tr>
        <w:tc>
          <w:tcPr>
            <w:tcW w:type="dxa" w:w="1824"/>
          </w:tcPr>
          <w:p>
            <w:r>
              <w:rPr>
                <w:sz w:val="18"/>
              </w:rPr>
              <w:t>Ladang Sri Murni</w:t>
            </w:r>
          </w:p>
        </w:tc>
        <w:tc>
          <w:tcPr>
            <w:tcW w:type="dxa" w:w="1824"/>
          </w:tcPr>
          <w:p>
            <w:r>
              <w:rPr>
                <w:sz w:val="18"/>
              </w:rPr>
              <w:t>Malaysia</w:t>
            </w:r>
          </w:p>
        </w:tc>
        <w:tc>
          <w:tcPr>
            <w:tcW w:type="dxa" w:w="1824"/>
          </w:tcPr>
          <w:p>
            <w:r>
              <w:rPr>
                <w:sz w:val="18"/>
              </w:rPr>
              <w:t>6,850</w:t>
            </w:r>
          </w:p>
        </w:tc>
        <w:tc>
          <w:tcPr>
            <w:tcW w:type="dxa" w:w="1824"/>
          </w:tcPr>
          <w:p>
            <w:r>
              <w:rPr>
                <w:sz w:val="18"/>
              </w:rPr>
              <w:t>RSPO Certified</w:t>
            </w:r>
          </w:p>
        </w:tc>
        <w:tc>
          <w:tcPr>
            <w:tcW w:type="dxa" w:w="1824"/>
          </w:tcPr>
          <w:p>
            <w:r>
              <w:rPr>
                <w:sz w:val="18"/>
              </w:rPr>
              <w:t>Active</w:t>
            </w:r>
          </w:p>
        </w:tc>
      </w:tr>
      <w:tr>
        <w:tc>
          <w:tcPr>
            <w:tcW w:type="dxa" w:w="1824"/>
          </w:tcPr>
          <w:p>
            <w:r>
              <w:rPr>
                <w:sz w:val="18"/>
              </w:rPr>
              <w:t>Ladang Bukit Zava</w:t>
            </w:r>
          </w:p>
        </w:tc>
        <w:tc>
          <w:tcPr>
            <w:tcW w:type="dxa" w:w="1824"/>
          </w:tcPr>
          <w:p>
            <w:r>
              <w:rPr>
                <w:sz w:val="18"/>
              </w:rPr>
              <w:t>Malaysia</w:t>
            </w:r>
          </w:p>
        </w:tc>
        <w:tc>
          <w:tcPr>
            <w:tcW w:type="dxa" w:w="1824"/>
          </w:tcPr>
          <w:p>
            <w:r>
              <w:rPr>
                <w:sz w:val="18"/>
              </w:rPr>
              <w:t>4,350</w:t>
            </w:r>
          </w:p>
        </w:tc>
        <w:tc>
          <w:tcPr>
            <w:tcW w:type="dxa" w:w="1824"/>
          </w:tcPr>
          <w:p>
            <w:r>
              <w:rPr>
                <w:sz w:val="18"/>
              </w:rPr>
              <w:t>MSPO Certified</w:t>
            </w:r>
          </w:p>
        </w:tc>
        <w:tc>
          <w:tcPr>
            <w:tcW w:type="dxa" w:w="1824"/>
          </w:tcPr>
          <w:p>
            <w:r>
              <w:rPr>
                <w:sz w:val="18"/>
              </w:rPr>
              <w:t>RSPO upgrade Q4 FY2025</w:t>
            </w:r>
          </w:p>
        </w:tc>
      </w:tr>
      <w:tr>
        <w:tc>
          <w:tcPr>
            <w:tcW w:type="dxa" w:w="1824"/>
          </w:tcPr>
          <w:p>
            <w:r>
              <w:rPr>
                <w:sz w:val="18"/>
              </w:rPr>
              <w:t>Ladang Parit Baru</w:t>
            </w:r>
          </w:p>
        </w:tc>
        <w:tc>
          <w:tcPr>
            <w:tcW w:type="dxa" w:w="1824"/>
          </w:tcPr>
          <w:p>
            <w:r>
              <w:rPr>
                <w:sz w:val="18"/>
              </w:rPr>
              <w:t>Malaysia</w:t>
            </w:r>
          </w:p>
        </w:tc>
        <w:tc>
          <w:tcPr>
            <w:tcW w:type="dxa" w:w="1824"/>
          </w:tcPr>
          <w:p>
            <w:r>
              <w:rPr>
                <w:sz w:val="18"/>
              </w:rPr>
              <w:t>3,900</w:t>
            </w:r>
          </w:p>
        </w:tc>
        <w:tc>
          <w:tcPr>
            <w:tcW w:type="dxa" w:w="1824"/>
          </w:tcPr>
          <w:p>
            <w:r>
              <w:rPr>
                <w:sz w:val="18"/>
              </w:rPr>
              <w:t>RSPO Certified</w:t>
            </w:r>
          </w:p>
        </w:tc>
        <w:tc>
          <w:tcPr>
            <w:tcW w:type="dxa" w:w="1824"/>
          </w:tcPr>
          <w:p>
            <w:r>
              <w:rPr>
                <w:sz w:val="18"/>
              </w:rPr>
              <w:t>Active</w:t>
            </w:r>
          </w:p>
        </w:tc>
      </w:tr>
      <w:tr>
        <w:tc>
          <w:tcPr>
            <w:tcW w:type="dxa" w:w="1824"/>
          </w:tcPr>
          <w:p>
            <w:r>
              <w:rPr>
                <w:sz w:val="18"/>
              </w:rPr>
              <w:t>Ladang Rimba Permai</w:t>
            </w:r>
          </w:p>
        </w:tc>
        <w:tc>
          <w:tcPr>
            <w:tcW w:type="dxa" w:w="1824"/>
          </w:tcPr>
          <w:p>
            <w:r>
              <w:rPr>
                <w:sz w:val="18"/>
              </w:rPr>
              <w:t>Malaysia</w:t>
            </w:r>
          </w:p>
        </w:tc>
        <w:tc>
          <w:tcPr>
            <w:tcW w:type="dxa" w:w="1824"/>
          </w:tcPr>
          <w:p>
            <w:r>
              <w:rPr>
                <w:sz w:val="18"/>
              </w:rPr>
              <w:t>3,800</w:t>
            </w:r>
          </w:p>
        </w:tc>
        <w:tc>
          <w:tcPr>
            <w:tcW w:type="dxa" w:w="1824"/>
          </w:tcPr>
          <w:p>
            <w:r>
              <w:rPr>
                <w:sz w:val="18"/>
              </w:rPr>
              <w:t>MSPO Certified</w:t>
            </w:r>
          </w:p>
        </w:tc>
        <w:tc>
          <w:tcPr>
            <w:tcW w:type="dxa" w:w="1824"/>
          </w:tcPr>
          <w:p>
            <w:r>
              <w:rPr>
                <w:sz w:val="18"/>
              </w:rPr>
              <w:t>RSPO upgrade Q4 FY2025</w:t>
            </w:r>
          </w:p>
        </w:tc>
      </w:tr>
      <w:tr>
        <w:tc>
          <w:tcPr>
            <w:tcW w:type="dxa" w:w="1824"/>
          </w:tcPr>
          <w:p>
            <w:r>
              <w:rPr>
                <w:sz w:val="18"/>
              </w:rPr>
              <w:t>Ladang Maju Jaya</w:t>
            </w:r>
          </w:p>
        </w:tc>
        <w:tc>
          <w:tcPr>
            <w:tcW w:type="dxa" w:w="1824"/>
          </w:tcPr>
          <w:p>
            <w:r>
              <w:rPr>
                <w:sz w:val="18"/>
              </w:rPr>
              <w:t>Malaysia</w:t>
            </w:r>
          </w:p>
        </w:tc>
        <w:tc>
          <w:tcPr>
            <w:tcW w:type="dxa" w:w="1824"/>
          </w:tcPr>
          <w:p>
            <w:r>
              <w:rPr>
                <w:sz w:val="18"/>
              </w:rPr>
              <w:t>2,800</w:t>
            </w:r>
          </w:p>
        </w:tc>
        <w:tc>
          <w:tcPr>
            <w:tcW w:type="dxa" w:w="1824"/>
          </w:tcPr>
          <w:p>
            <w:r>
              <w:rPr>
                <w:sz w:val="18"/>
              </w:rPr>
              <w:t>RSPO Certified</w:t>
            </w:r>
          </w:p>
        </w:tc>
        <w:tc>
          <w:tcPr>
            <w:tcW w:type="dxa" w:w="1824"/>
          </w:tcPr>
          <w:p>
            <w:r>
              <w:rPr>
                <w:sz w:val="18"/>
              </w:rPr>
              <w:t>Active</w:t>
            </w:r>
          </w:p>
        </w:tc>
      </w:tr>
      <w:tr>
        <w:tc>
          <w:tcPr>
            <w:tcW w:type="dxa" w:w="1824"/>
          </w:tcPr>
          <w:p>
            <w:r>
              <w:rPr>
                <w:sz w:val="18"/>
              </w:rPr>
              <w:t>Ladang Tembaga Biru</w:t>
            </w:r>
          </w:p>
        </w:tc>
        <w:tc>
          <w:tcPr>
            <w:tcW w:type="dxa" w:w="1824"/>
          </w:tcPr>
          <w:p>
            <w:r>
              <w:rPr>
                <w:sz w:val="18"/>
              </w:rPr>
              <w:t>Malaysia</w:t>
            </w:r>
          </w:p>
        </w:tc>
        <w:tc>
          <w:tcPr>
            <w:tcW w:type="dxa" w:w="1824"/>
          </w:tcPr>
          <w:p>
            <w:r>
              <w:rPr>
                <w:sz w:val="18"/>
              </w:rPr>
              <w:t>1,800</w:t>
            </w:r>
          </w:p>
        </w:tc>
        <w:tc>
          <w:tcPr>
            <w:tcW w:type="dxa" w:w="1824"/>
          </w:tcPr>
          <w:p>
            <w:r>
              <w:rPr>
                <w:sz w:val="18"/>
              </w:rPr>
              <w:t>RSPO Certified</w:t>
            </w:r>
          </w:p>
        </w:tc>
        <w:tc>
          <w:tcPr>
            <w:tcW w:type="dxa" w:w="1824"/>
          </w:tcPr>
          <w:p>
            <w:r>
              <w:rPr>
                <w:sz w:val="18"/>
              </w:rPr>
              <w:t>Active</w:t>
            </w:r>
          </w:p>
        </w:tc>
      </w:tr>
      <w:tr>
        <w:tc>
          <w:tcPr>
            <w:tcW w:type="dxa" w:w="1824"/>
          </w:tcPr>
          <w:p>
            <w:r>
              <w:rPr>
                <w:sz w:val="18"/>
              </w:rPr>
              <w:t>Perkebunan Lestari</w:t>
            </w:r>
          </w:p>
        </w:tc>
        <w:tc>
          <w:tcPr>
            <w:tcW w:type="dxa" w:w="1824"/>
          </w:tcPr>
          <w:p>
            <w:r>
              <w:rPr>
                <w:sz w:val="18"/>
              </w:rPr>
              <w:t>Indonesia</w:t>
            </w:r>
          </w:p>
        </w:tc>
        <w:tc>
          <w:tcPr>
            <w:tcW w:type="dxa" w:w="1824"/>
          </w:tcPr>
          <w:p>
            <w:r>
              <w:rPr>
                <w:sz w:val="18"/>
              </w:rPr>
              <w:t>9,400</w:t>
            </w:r>
          </w:p>
        </w:tc>
        <w:tc>
          <w:tcPr>
            <w:tcW w:type="dxa" w:w="1824"/>
          </w:tcPr>
          <w:p>
            <w:r>
              <w:rPr>
                <w:sz w:val="18"/>
              </w:rPr>
              <w:t>RSPO SUSPENDED</w:t>
            </w:r>
          </w:p>
        </w:tc>
        <w:tc>
          <w:tcPr>
            <w:tcW w:type="dxa" w:w="1824"/>
          </w:tcPr>
          <w:p>
            <w:r>
              <w:rPr>
                <w:sz w:val="18"/>
              </w:rPr>
              <w:t>Remediation -- expected restored Q4 FY2025</w:t>
            </w:r>
          </w:p>
        </w:tc>
      </w:tr>
      <w:tr>
        <w:tc>
          <w:tcPr>
            <w:tcW w:type="dxa" w:w="1824"/>
          </w:tcPr>
          <w:p>
            <w:r>
              <w:rPr>
                <w:sz w:val="18"/>
              </w:rPr>
              <w:t>Perkebunan Nusantara Zava</w:t>
            </w:r>
          </w:p>
        </w:tc>
        <w:tc>
          <w:tcPr>
            <w:tcW w:type="dxa" w:w="1824"/>
          </w:tcPr>
          <w:p>
            <w:r>
              <w:rPr>
                <w:sz w:val="18"/>
              </w:rPr>
              <w:t>Indonesia</w:t>
            </w:r>
          </w:p>
        </w:tc>
        <w:tc>
          <w:tcPr>
            <w:tcW w:type="dxa" w:w="1824"/>
          </w:tcPr>
          <w:p>
            <w:r>
              <w:rPr>
                <w:sz w:val="18"/>
              </w:rPr>
              <w:t>9,000</w:t>
            </w:r>
          </w:p>
        </w:tc>
        <w:tc>
          <w:tcPr>
            <w:tcW w:type="dxa" w:w="1824"/>
          </w:tcPr>
          <w:p>
            <w:r>
              <w:rPr>
                <w:sz w:val="18"/>
              </w:rPr>
              <w:t>ISPO Certified</w:t>
            </w:r>
          </w:p>
        </w:tc>
        <w:tc>
          <w:tcPr>
            <w:tcW w:type="dxa" w:w="1824"/>
          </w:tcPr>
          <w:p>
            <w:r>
              <w:rPr>
                <w:sz w:val="18"/>
              </w:rPr>
              <w:t>RSPO in-progress; expected Q3 FY2025</w:t>
            </w:r>
          </w:p>
        </w:tc>
      </w:tr>
      <w:tr>
        <w:tc>
          <w:tcPr>
            <w:tcW w:type="dxa" w:w="1824"/>
          </w:tcPr>
          <w:p>
            <w:r>
              <w:rPr>
                <w:sz w:val="18"/>
              </w:rPr>
              <w:t>PT Zava Agro Sumatra</w:t>
            </w:r>
          </w:p>
        </w:tc>
        <w:tc>
          <w:tcPr>
            <w:tcW w:type="dxa" w:w="1824"/>
          </w:tcPr>
          <w:p>
            <w:r>
              <w:rPr>
                <w:sz w:val="18"/>
              </w:rPr>
              <w:t>Indonesia</w:t>
            </w:r>
          </w:p>
        </w:tc>
        <w:tc>
          <w:tcPr>
            <w:tcW w:type="dxa" w:w="1824"/>
          </w:tcPr>
          <w:p>
            <w:r>
              <w:rPr>
                <w:sz w:val="18"/>
              </w:rPr>
              <w:t>7,300</w:t>
            </w:r>
          </w:p>
        </w:tc>
        <w:tc>
          <w:tcPr>
            <w:tcW w:type="dxa" w:w="1824"/>
          </w:tcPr>
          <w:p>
            <w:r>
              <w:rPr>
                <w:sz w:val="18"/>
              </w:rPr>
              <w:t>ISPO + RSPO progress</w:t>
            </w:r>
          </w:p>
        </w:tc>
        <w:tc>
          <w:tcPr>
            <w:tcW w:type="dxa" w:w="1824"/>
          </w:tcPr>
          <w:p>
            <w:r>
              <w:rPr>
                <w:sz w:val="18"/>
              </w:rPr>
              <w:t>RSPO audit scheduled Q2 FY2025</w:t>
            </w:r>
          </w:p>
        </w:tc>
      </w:tr>
      <w:tr>
        <w:tc>
          <w:tcPr>
            <w:tcW w:type="dxa" w:w="1824"/>
          </w:tcPr>
          <w:p>
            <w:r>
              <w:rPr>
                <w:sz w:val="18"/>
              </w:rPr>
              <w:t>PT Sawit Indah</w:t>
            </w:r>
          </w:p>
        </w:tc>
        <w:tc>
          <w:tcPr>
            <w:tcW w:type="dxa" w:w="1824"/>
          </w:tcPr>
          <w:p>
            <w:r>
              <w:rPr>
                <w:sz w:val="18"/>
              </w:rPr>
              <w:t>Indonesia</w:t>
            </w:r>
          </w:p>
        </w:tc>
        <w:tc>
          <w:tcPr>
            <w:tcW w:type="dxa" w:w="1824"/>
          </w:tcPr>
          <w:p>
            <w:r>
              <w:rPr>
                <w:sz w:val="18"/>
              </w:rPr>
              <w:t>5,200</w:t>
            </w:r>
          </w:p>
        </w:tc>
        <w:tc>
          <w:tcPr>
            <w:tcW w:type="dxa" w:w="1824"/>
          </w:tcPr>
          <w:p>
            <w:r>
              <w:rPr>
                <w:sz w:val="18"/>
              </w:rPr>
              <w:t>ISPO Certified</w:t>
            </w:r>
          </w:p>
        </w:tc>
        <w:tc>
          <w:tcPr>
            <w:tcW w:type="dxa" w:w="1824"/>
          </w:tcPr>
          <w:p>
            <w:r>
              <w:rPr>
                <w:sz w:val="18"/>
              </w:rPr>
              <w:t>RSPO upgrade FY2026</w:t>
            </w:r>
          </w:p>
        </w:tc>
      </w:tr>
      <w:tr>
        <w:tc>
          <w:tcPr>
            <w:tcW w:type="dxa" w:w="1824"/>
          </w:tcPr>
          <w:p>
            <w:r>
              <w:rPr>
                <w:sz w:val="18"/>
              </w:rPr>
              <w:t>PT Permai Borneo</w:t>
            </w:r>
          </w:p>
        </w:tc>
        <w:tc>
          <w:tcPr>
            <w:tcW w:type="dxa" w:w="1824"/>
          </w:tcPr>
          <w:p>
            <w:r>
              <w:rPr>
                <w:sz w:val="18"/>
              </w:rPr>
              <w:t>Indonesia</w:t>
            </w:r>
          </w:p>
        </w:tc>
        <w:tc>
          <w:tcPr>
            <w:tcW w:type="dxa" w:w="1824"/>
          </w:tcPr>
          <w:p>
            <w:r>
              <w:rPr>
                <w:sz w:val="18"/>
              </w:rPr>
              <w:t>4,400</w:t>
            </w:r>
          </w:p>
        </w:tc>
        <w:tc>
          <w:tcPr>
            <w:tcW w:type="dxa" w:w="1824"/>
          </w:tcPr>
          <w:p>
            <w:r>
              <w:rPr>
                <w:sz w:val="18"/>
              </w:rPr>
              <w:t>ISPO Certified</w:t>
            </w:r>
          </w:p>
        </w:tc>
        <w:tc>
          <w:tcPr>
            <w:tcW w:type="dxa" w:w="1824"/>
          </w:tcPr>
          <w:p>
            <w:r>
              <w:rPr>
                <w:sz w:val="18"/>
              </w:rPr>
              <w:t>RSPO upgrade FY2026</w:t>
            </w:r>
          </w:p>
        </w:tc>
      </w:tr>
    </w:tbl>
    <w:p/>
    <w:p>
      <w:r>
        <w:br w:type="page"/>
      </w:r>
    </w:p>
    <w:p>
      <w:pPr>
        <w:spacing w:before="360" w:after="120"/>
      </w:pPr>
      <w:r>
        <w:rPr>
          <w:b/>
          <w:color w:val="1F2D55"/>
          <w:sz w:val="32"/>
        </w:rPr>
        <w:t>Section 5: Social -- Worker Rights &amp; Community</w:t>
      </w:r>
    </w:p>
    <w:p>
      <w:pPr>
        <w:spacing w:before="200" w:after="80"/>
      </w:pPr>
      <w:r>
        <w:rPr>
          <w:b/>
          <w:color w:val="00878A"/>
          <w:sz w:val="26"/>
        </w:rPr>
        <w:t>5.1 Labour Standards</w:t>
      </w:r>
    </w:p>
    <w:p>
      <w:pPr>
        <w:pStyle w:val="ListBullet"/>
        <w:spacing w:after="60"/>
        <w:ind w:left="360"/>
      </w:pPr>
      <w:r>
        <w:rPr>
          <w:color w:val="1A1A2E"/>
          <w:sz w:val="21"/>
        </w:rPr>
        <w:t>Living wage commitment: All Zava Group employees paid at or above local living wage benchmarks (WageIndicator Foundation)</w:t>
      </w:r>
    </w:p>
    <w:p>
      <w:pPr>
        <w:pStyle w:val="ListBullet"/>
        <w:spacing w:after="60"/>
        <w:ind w:left="360"/>
      </w:pPr>
      <w:r>
        <w:rPr>
          <w:color w:val="1A1A2E"/>
          <w:sz w:val="21"/>
        </w:rPr>
        <w:t>Workers Union: Zava Chemicals and Agribusiness: Collective Bargaining Agreement (CBA) in place; annual renegotiation</w:t>
      </w:r>
    </w:p>
    <w:p>
      <w:pPr>
        <w:pStyle w:val="ListBullet"/>
        <w:spacing w:after="60"/>
        <w:ind w:left="360"/>
      </w:pPr>
      <w:r>
        <w:rPr>
          <w:color w:val="1A1A2E"/>
          <w:sz w:val="21"/>
        </w:rPr>
        <w:t>Child labour: Zero tolerance; mandatory age verification for all estate and factory workers; 0 incidents FY2024</w:t>
      </w:r>
    </w:p>
    <w:p>
      <w:pPr>
        <w:pStyle w:val="ListBullet"/>
        <w:spacing w:after="60"/>
        <w:ind w:left="360"/>
      </w:pPr>
      <w:r>
        <w:rPr>
          <w:color w:val="1A1A2E"/>
          <w:sz w:val="21"/>
        </w:rPr>
        <w:t>Migrant worker policy: Zava does not engage labour contractors that retain worker passports or charge recruitment fees (following NC-PL-03)</w:t>
      </w:r>
    </w:p>
    <w:p>
      <w:pPr>
        <w:pStyle w:val="ListBullet"/>
        <w:spacing w:after="60"/>
        <w:ind w:left="360"/>
      </w:pPr>
      <w:r>
        <w:rPr>
          <w:color w:val="1A1A2E"/>
          <w:sz w:val="21"/>
        </w:rPr>
        <w:t>Gender: Women in management 26.4% FY2024; target 40% by FY2028</w:t>
      </w:r>
    </w:p>
    <w:p>
      <w:pPr>
        <w:pStyle w:val="ListBullet"/>
        <w:spacing w:after="60"/>
        <w:ind w:left="360"/>
      </w:pPr>
      <w:r>
        <w:rPr>
          <w:color w:val="1A1A2E"/>
          <w:sz w:val="21"/>
        </w:rPr>
        <w:t>Health &amp; Safety: Group TRIR 0.84 FY2024; target &lt;0.6 by FY2026</w:t>
      </w:r>
    </w:p>
    <w:p>
      <w:pPr>
        <w:spacing w:before="200" w:after="80"/>
      </w:pPr>
      <w:r>
        <w:rPr>
          <w:b/>
          <w:color w:val="00878A"/>
          <w:sz w:val="26"/>
        </w:rPr>
        <w:t>5.2 Community Investment (CSR)</w:t>
      </w:r>
    </w:p>
    <w:p>
      <w:pPr>
        <w:spacing w:after="80"/>
      </w:pPr>
      <w:r>
        <w:rPr>
          <w:b/>
          <w:color w:val="167A48"/>
          <w:sz w:val="20"/>
        </w:rPr>
        <w:t xml:space="preserve">FY2024 CSR Spend: </w:t>
      </w:r>
      <w:r>
        <w:rPr>
          <w:color w:val="1A1A2E"/>
          <w:sz w:val="20"/>
        </w:rPr>
        <w:t>Total MYR 84M | MY: MYR 52M | ID: MYR 32M</w:t>
      </w:r>
    </w:p>
    <w:p>
      <w:pPr>
        <w:pStyle w:val="ListBullet"/>
        <w:spacing w:after="60"/>
        <w:ind w:left="360"/>
      </w:pPr>
      <w:r>
        <w:rPr>
          <w:color w:val="1A1A2E"/>
          <w:sz w:val="21"/>
        </w:rPr>
        <w:t>Education: 1,240 scholarships (Zava Scholars Programme); 28 schools supported in plantation communities</w:t>
      </w:r>
    </w:p>
    <w:p>
      <w:pPr>
        <w:pStyle w:val="ListBullet"/>
        <w:spacing w:after="60"/>
        <w:ind w:left="360"/>
      </w:pPr>
      <w:r>
        <w:rPr>
          <w:color w:val="1A1A2E"/>
          <w:sz w:val="21"/>
        </w:rPr>
        <w:t>Healthcare access: Mobile clinic programme covering 42 remote estate communities in Sabah, Sarawak, East Kalimantan</w:t>
      </w:r>
    </w:p>
    <w:p>
      <w:pPr>
        <w:pStyle w:val="ListBullet"/>
        <w:spacing w:after="60"/>
        <w:ind w:left="360"/>
      </w:pPr>
      <w:r>
        <w:rPr>
          <w:color w:val="1A1A2E"/>
          <w:sz w:val="21"/>
        </w:rPr>
        <w:t>Smallholder support: ZavaAgri Extension programme (480 registered smallholders) -- training, inputs, pricing transparency</w:t>
      </w:r>
    </w:p>
    <w:p>
      <w:pPr>
        <w:pStyle w:val="ListBullet"/>
        <w:spacing w:after="60"/>
        <w:ind w:left="360"/>
      </w:pPr>
      <w:r>
        <w:rPr>
          <w:color w:val="1A1A2E"/>
          <w:sz w:val="21"/>
        </w:rPr>
        <w:t>Women empowerment: Zava Women's Enterprise Programme -- 620 women entrepreneurs supported in MY and ID</w:t>
      </w:r>
    </w:p>
    <w:p>
      <w:pPr>
        <w:pStyle w:val="ListBullet"/>
        <w:spacing w:after="60"/>
        <w:ind w:left="360"/>
      </w:pPr>
      <w:r>
        <w:rPr>
          <w:color w:val="1A1A2E"/>
          <w:sz w:val="21"/>
        </w:rPr>
        <w:t>Livelihood: Replanting assistance fund for surrounding communities (MYR 8.4M FY2024)</w:t>
      </w:r>
    </w:p>
    <w:p>
      <w:r>
        <w:br w:type="page"/>
      </w:r>
    </w:p>
    <w:p>
      <w:pPr>
        <w:spacing w:before="360" w:after="120"/>
      </w:pPr>
      <w:r>
        <w:rPr>
          <w:b/>
          <w:color w:val="1F2D55"/>
          <w:sz w:val="32"/>
        </w:rPr>
        <w:t>Section 6: GRI Content Index (Summary)</w:t>
      </w:r>
    </w:p>
    <w:p>
      <w:pPr>
        <w:spacing w:after="100"/>
      </w:pPr>
      <w:r>
        <w:rPr>
          <w:color w:val="1A1A2E"/>
          <w:sz w:val="21"/>
        </w:rPr>
        <w:t>Zava Group reports in accordance with GRI Standards 2021 (Core option). The following table provides a summary GRI content index for FY2024. Full GRI index available in the Zava Group Annual Sustainability Report.</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tc>
        <w:tc>
          <w:tcPr>
            <w:tcW w:type="dxa" w:w="2280"/>
          </w:tcPr>
          <w:p/>
        </w:tc>
        <w:tc>
          <w:tcPr>
            <w:tcW w:type="dxa" w:w="2280"/>
          </w:tcPr>
          <w:p/>
        </w:tc>
        <w:tc>
          <w:tcPr>
            <w:tcW w:type="dxa" w:w="2280"/>
          </w:tcPr>
          <w:p/>
        </w:tc>
      </w:tr>
      <w:tr>
        <w:tc>
          <w:tcPr>
            <w:tcW w:type="dxa" w:w="2280"/>
            <w:shd w:val="clear" w:color="auto" w:fill="1F2D55"/>
          </w:tcPr>
          <w:p>
            <w:r>
              <w:rPr>
                <w:b/>
                <w:sz w:val="18"/>
              </w:rPr>
              <w:t>GRI Standard</w:t>
            </w:r>
          </w:p>
        </w:tc>
        <w:tc>
          <w:tcPr>
            <w:tcW w:type="dxa" w:w="2280"/>
            <w:shd w:val="clear" w:color="auto" w:fill="1F2D55"/>
          </w:tcPr>
          <w:p>
            <w:r>
              <w:rPr>
                <w:b/>
                <w:sz w:val="18"/>
              </w:rPr>
              <w:t>Disclosure</w:t>
            </w:r>
          </w:p>
        </w:tc>
        <w:tc>
          <w:tcPr>
            <w:tcW w:type="dxa" w:w="2280"/>
            <w:shd w:val="clear" w:color="auto" w:fill="1F2D55"/>
          </w:tcPr>
          <w:p>
            <w:r>
              <w:rPr>
                <w:b/>
                <w:sz w:val="18"/>
              </w:rPr>
              <w:t>Response Summary</w:t>
            </w:r>
          </w:p>
        </w:tc>
        <w:tc>
          <w:tcPr>
            <w:tcW w:type="dxa" w:w="2280"/>
            <w:shd w:val="clear" w:color="auto" w:fill="1F2D55"/>
          </w:tcPr>
          <w:p>
            <w:r>
              <w:rPr>
                <w:b/>
                <w:sz w:val="18"/>
              </w:rPr>
              <w:t>Page/Document Ref</w:t>
            </w:r>
          </w:p>
        </w:tc>
      </w:tr>
      <w:tr>
        <w:tc>
          <w:tcPr>
            <w:tcW w:type="dxa" w:w="2280"/>
          </w:tcPr>
          <w:p>
            <w:r>
              <w:rPr>
                <w:sz w:val="18"/>
              </w:rPr>
              <w:t>GRI 2: General Disclosures</w:t>
            </w:r>
          </w:p>
        </w:tc>
        <w:tc>
          <w:tcPr>
            <w:tcW w:type="dxa" w:w="2280"/>
          </w:tcPr>
          <w:p>
            <w:r>
              <w:rPr>
                <w:sz w:val="18"/>
              </w:rPr>
              <w:t>2-1 Org details</w:t>
            </w:r>
          </w:p>
        </w:tc>
        <w:tc>
          <w:tcPr>
            <w:tcW w:type="dxa" w:w="2280"/>
          </w:tcPr>
          <w:p>
            <w:r>
              <w:rPr>
                <w:sz w:val="18"/>
              </w:rPr>
              <w:t>Zava Group Holdings Berhad, dual-listed Bursa+IDX, KL+Jakarta HQ</w:t>
            </w:r>
          </w:p>
        </w:tc>
        <w:tc>
          <w:tcPr>
            <w:tcW w:type="dxa" w:w="2280"/>
          </w:tcPr>
          <w:p>
            <w:r>
              <w:rPr>
                <w:sz w:val="18"/>
              </w:rPr>
              <w:t>Annual Report 2024</w:t>
            </w:r>
          </w:p>
        </w:tc>
      </w:tr>
      <w:tr>
        <w:tc>
          <w:tcPr>
            <w:tcW w:type="dxa" w:w="2280"/>
          </w:tcPr>
          <w:p>
            <w:r>
              <w:rPr>
                <w:sz w:val="18"/>
              </w:rPr>
              <w:t>GRI 2</w:t>
            </w:r>
          </w:p>
        </w:tc>
        <w:tc>
          <w:tcPr>
            <w:tcW w:type="dxa" w:w="2280"/>
          </w:tcPr>
          <w:p>
            <w:r>
              <w:rPr>
                <w:sz w:val="18"/>
              </w:rPr>
              <w:t>2-6 Activities &amp; value chain</w:t>
            </w:r>
          </w:p>
        </w:tc>
        <w:tc>
          <w:tcPr>
            <w:tcW w:type="dxa" w:w="2280"/>
          </w:tcPr>
          <w:p>
            <w:r>
              <w:rPr>
                <w:sz w:val="18"/>
              </w:rPr>
              <w:t>11 divisions, MY+ID+IN+SG, 87,420 employees</w:t>
            </w:r>
          </w:p>
        </w:tc>
        <w:tc>
          <w:tcPr>
            <w:tcW w:type="dxa" w:w="2280"/>
          </w:tcPr>
          <w:p>
            <w:r>
              <w:rPr>
                <w:sz w:val="18"/>
              </w:rPr>
              <w:t>Annual Report p.8-14</w:t>
            </w:r>
          </w:p>
        </w:tc>
      </w:tr>
      <w:tr>
        <w:tc>
          <w:tcPr>
            <w:tcW w:type="dxa" w:w="2280"/>
          </w:tcPr>
          <w:p>
            <w:r>
              <w:rPr>
                <w:sz w:val="18"/>
              </w:rPr>
              <w:t>GRI 2</w:t>
            </w:r>
          </w:p>
        </w:tc>
        <w:tc>
          <w:tcPr>
            <w:tcW w:type="dxa" w:w="2280"/>
          </w:tcPr>
          <w:p>
            <w:r>
              <w:rPr>
                <w:sz w:val="18"/>
              </w:rPr>
              <w:t>2-22 Statement on sustainable dev</w:t>
            </w:r>
          </w:p>
        </w:tc>
        <w:tc>
          <w:tcPr>
            <w:tcW w:type="dxa" w:w="2280"/>
          </w:tcPr>
          <w:p>
            <w:r>
              <w:rPr>
                <w:sz w:val="18"/>
              </w:rPr>
              <w:t>CEO statement signed Dato Sri Irfan Zavaree</w:t>
            </w:r>
          </w:p>
        </w:tc>
        <w:tc>
          <w:tcPr>
            <w:tcW w:type="dxa" w:w="2280"/>
          </w:tcPr>
          <w:p>
            <w:r>
              <w:rPr>
                <w:sz w:val="18"/>
              </w:rPr>
              <w:t>Sustainability Report p.2</w:t>
            </w:r>
          </w:p>
        </w:tc>
      </w:tr>
      <w:tr>
        <w:tc>
          <w:tcPr>
            <w:tcW w:type="dxa" w:w="2280"/>
          </w:tcPr>
          <w:p>
            <w:r>
              <w:rPr>
                <w:sz w:val="18"/>
              </w:rPr>
              <w:t>GRI 3: Material Topics</w:t>
            </w:r>
          </w:p>
        </w:tc>
        <w:tc>
          <w:tcPr>
            <w:tcW w:type="dxa" w:w="2280"/>
          </w:tcPr>
          <w:p>
            <w:r>
              <w:rPr>
                <w:sz w:val="18"/>
              </w:rPr>
              <w:t>3-1 Process to determine material topics</w:t>
            </w:r>
          </w:p>
        </w:tc>
        <w:tc>
          <w:tcPr>
            <w:tcW w:type="dxa" w:w="2280"/>
          </w:tcPr>
          <w:p>
            <w:r>
              <w:rPr>
                <w:sz w:val="18"/>
              </w:rPr>
              <w:t>Double materiality assessment FY2024; 1,240 stakeholders</w:t>
            </w:r>
          </w:p>
        </w:tc>
        <w:tc>
          <w:tcPr>
            <w:tcW w:type="dxa" w:w="2280"/>
          </w:tcPr>
          <w:p>
            <w:r>
              <w:rPr>
                <w:sz w:val="18"/>
              </w:rPr>
              <w:t>Sustainability Report p.18</w:t>
            </w:r>
          </w:p>
        </w:tc>
      </w:tr>
      <w:tr>
        <w:tc>
          <w:tcPr>
            <w:tcW w:type="dxa" w:w="2280"/>
          </w:tcPr>
          <w:p>
            <w:r>
              <w:rPr>
                <w:sz w:val="18"/>
              </w:rPr>
              <w:t>GRI 305: Emissions</w:t>
            </w:r>
          </w:p>
        </w:tc>
        <w:tc>
          <w:tcPr>
            <w:tcW w:type="dxa" w:w="2280"/>
          </w:tcPr>
          <w:p>
            <w:r>
              <w:rPr>
                <w:sz w:val="18"/>
              </w:rPr>
              <w:t>305-1 Scope 1</w:t>
            </w:r>
          </w:p>
        </w:tc>
        <w:tc>
          <w:tcPr>
            <w:tcW w:type="dxa" w:w="2280"/>
          </w:tcPr>
          <w:p>
            <w:r>
              <w:rPr>
                <w:sz w:val="18"/>
              </w:rPr>
              <w:t>2.84M tCO2e FY2024 (EY verified)</w:t>
            </w:r>
          </w:p>
        </w:tc>
        <w:tc>
          <w:tcPr>
            <w:tcW w:type="dxa" w:w="2280"/>
          </w:tcPr>
          <w:p>
            <w:r>
              <w:rPr>
                <w:sz w:val="18"/>
              </w:rPr>
              <w:t>Section 2 this document</w:t>
            </w:r>
          </w:p>
        </w:tc>
      </w:tr>
      <w:tr>
        <w:tc>
          <w:tcPr>
            <w:tcW w:type="dxa" w:w="2280"/>
          </w:tcPr>
          <w:p>
            <w:r>
              <w:rPr>
                <w:sz w:val="18"/>
              </w:rPr>
              <w:t>GRI 305</w:t>
            </w:r>
          </w:p>
        </w:tc>
        <w:tc>
          <w:tcPr>
            <w:tcW w:type="dxa" w:w="2280"/>
          </w:tcPr>
          <w:p>
            <w:r>
              <w:rPr>
                <w:sz w:val="18"/>
              </w:rPr>
              <w:t>305-2 Scope 2 (market)</w:t>
            </w:r>
          </w:p>
        </w:tc>
        <w:tc>
          <w:tcPr>
            <w:tcW w:type="dxa" w:w="2280"/>
          </w:tcPr>
          <w:p>
            <w:r>
              <w:rPr>
                <w:sz w:val="18"/>
              </w:rPr>
              <w:t>0.68M tCO2e FY2024</w:t>
            </w:r>
          </w:p>
        </w:tc>
        <w:tc>
          <w:tcPr>
            <w:tcW w:type="dxa" w:w="2280"/>
          </w:tcPr>
          <w:p>
            <w:r>
              <w:rPr>
                <w:sz w:val="18"/>
              </w:rPr>
              <w:t>Section 2 this document</w:t>
            </w:r>
          </w:p>
        </w:tc>
      </w:tr>
      <w:tr>
        <w:tc>
          <w:tcPr>
            <w:tcW w:type="dxa" w:w="2280"/>
          </w:tcPr>
          <w:p>
            <w:r>
              <w:rPr>
                <w:sz w:val="18"/>
              </w:rPr>
              <w:t>GRI 305</w:t>
            </w:r>
          </w:p>
        </w:tc>
        <w:tc>
          <w:tcPr>
            <w:tcW w:type="dxa" w:w="2280"/>
          </w:tcPr>
          <w:p>
            <w:r>
              <w:rPr>
                <w:sz w:val="18"/>
              </w:rPr>
              <w:t>305-3 Scope 3 (material)</w:t>
            </w:r>
          </w:p>
        </w:tc>
        <w:tc>
          <w:tcPr>
            <w:tcW w:type="dxa" w:w="2280"/>
          </w:tcPr>
          <w:p>
            <w:r>
              <w:rPr>
                <w:sz w:val="18"/>
              </w:rPr>
              <w:t>8.42M tCO2e FY2024</w:t>
            </w:r>
          </w:p>
        </w:tc>
        <w:tc>
          <w:tcPr>
            <w:tcW w:type="dxa" w:w="2280"/>
          </w:tcPr>
          <w:p>
            <w:r>
              <w:rPr>
                <w:sz w:val="18"/>
              </w:rPr>
              <w:t>Sustainability Report p.64</w:t>
            </w:r>
          </w:p>
        </w:tc>
      </w:tr>
      <w:tr>
        <w:tc>
          <w:tcPr>
            <w:tcW w:type="dxa" w:w="2280"/>
          </w:tcPr>
          <w:p>
            <w:r>
              <w:rPr>
                <w:sz w:val="18"/>
              </w:rPr>
              <w:t>GRI 401: Employment</w:t>
            </w:r>
          </w:p>
        </w:tc>
        <w:tc>
          <w:tcPr>
            <w:tcW w:type="dxa" w:w="2280"/>
          </w:tcPr>
          <w:p>
            <w:r>
              <w:rPr>
                <w:sz w:val="18"/>
              </w:rPr>
              <w:t>401-1 New hires &amp; turnover</w:t>
            </w:r>
          </w:p>
        </w:tc>
        <w:tc>
          <w:tcPr>
            <w:tcW w:type="dxa" w:w="2280"/>
          </w:tcPr>
          <w:p>
            <w:r>
              <w:rPr>
                <w:sz w:val="18"/>
              </w:rPr>
              <w:t>Group attrition 18.4%; see 18_Zava_HR_Analytics.xlsx</w:t>
            </w:r>
          </w:p>
        </w:tc>
        <w:tc>
          <w:tcPr>
            <w:tcW w:type="dxa" w:w="2280"/>
          </w:tcPr>
          <w:p>
            <w:r>
              <w:rPr>
                <w:sz w:val="18"/>
              </w:rPr>
              <w:t>HR Analytics file</w:t>
            </w:r>
          </w:p>
        </w:tc>
      </w:tr>
      <w:tr>
        <w:tc>
          <w:tcPr>
            <w:tcW w:type="dxa" w:w="2280"/>
          </w:tcPr>
          <w:p>
            <w:r>
              <w:rPr>
                <w:sz w:val="18"/>
              </w:rPr>
              <w:t>GRI 403: OHS</w:t>
            </w:r>
          </w:p>
        </w:tc>
        <w:tc>
          <w:tcPr>
            <w:tcW w:type="dxa" w:w="2280"/>
          </w:tcPr>
          <w:p>
            <w:r>
              <w:rPr>
                <w:sz w:val="18"/>
              </w:rPr>
              <w:t>403-9 Work injuries</w:t>
            </w:r>
          </w:p>
        </w:tc>
        <w:tc>
          <w:tcPr>
            <w:tcW w:type="dxa" w:w="2280"/>
          </w:tcPr>
          <w:p>
            <w:r>
              <w:rPr>
                <w:sz w:val="18"/>
              </w:rPr>
              <w:t>Group TRIR 0.84; LTIR 0.22</w:t>
            </w:r>
          </w:p>
        </w:tc>
        <w:tc>
          <w:tcPr>
            <w:tcW w:type="dxa" w:w="2280"/>
          </w:tcPr>
          <w:p>
            <w:r>
              <w:rPr>
                <w:sz w:val="18"/>
              </w:rPr>
              <w:t>Section 21 HIRARC doc</w:t>
            </w:r>
          </w:p>
        </w:tc>
      </w:tr>
      <w:tr>
        <w:tc>
          <w:tcPr>
            <w:tcW w:type="dxa" w:w="2280"/>
          </w:tcPr>
          <w:p>
            <w:r>
              <w:rPr>
                <w:sz w:val="18"/>
              </w:rPr>
              <w:t>GRI 408</w:t>
            </w:r>
          </w:p>
        </w:tc>
        <w:tc>
          <w:tcPr>
            <w:tcW w:type="dxa" w:w="2280"/>
          </w:tcPr>
          <w:p>
            <w:r>
              <w:rPr>
                <w:sz w:val="18"/>
              </w:rPr>
              <w:t>408-1 Child labour</w:t>
            </w:r>
          </w:p>
        </w:tc>
        <w:tc>
          <w:tcPr>
            <w:tcW w:type="dxa" w:w="2280"/>
          </w:tcPr>
          <w:p>
            <w:r>
              <w:rPr>
                <w:sz w:val="18"/>
              </w:rPr>
              <w:t>Zero incidents FY2024; age verification all sites</w:t>
            </w:r>
          </w:p>
        </w:tc>
        <w:tc>
          <w:tcPr>
            <w:tcW w:type="dxa" w:w="2280"/>
          </w:tcPr>
          <w:p>
            <w:r>
              <w:rPr>
                <w:sz w:val="18"/>
              </w:rPr>
              <w:t>Section 5 this document</w:t>
            </w:r>
          </w:p>
        </w:tc>
      </w:tr>
      <w:tr>
        <w:tc>
          <w:tcPr>
            <w:tcW w:type="dxa" w:w="2280"/>
          </w:tcPr>
          <w:p>
            <w:r>
              <w:rPr>
                <w:sz w:val="18"/>
              </w:rPr>
              <w:t>GRI 409</w:t>
            </w:r>
          </w:p>
        </w:tc>
        <w:tc>
          <w:tcPr>
            <w:tcW w:type="dxa" w:w="2280"/>
          </w:tcPr>
          <w:p>
            <w:r>
              <w:rPr>
                <w:sz w:val="18"/>
              </w:rPr>
              <w:t>409-1 Forced labour</w:t>
            </w:r>
          </w:p>
        </w:tc>
        <w:tc>
          <w:tcPr>
            <w:tcW w:type="dxa" w:w="2280"/>
          </w:tcPr>
          <w:p>
            <w:r>
              <w:rPr>
                <w:sz w:val="18"/>
              </w:rPr>
              <w:t>NC-PL-03 remediated Q1 FY2025</w:t>
            </w:r>
          </w:p>
        </w:tc>
        <w:tc>
          <w:tcPr>
            <w:tcW w:type="dxa" w:w="2280"/>
          </w:tcPr>
          <w:p>
            <w:r>
              <w:rPr>
                <w:sz w:val="18"/>
              </w:rPr>
              <w:t>Section 3 this document</w:t>
            </w:r>
          </w:p>
        </w:tc>
      </w:tr>
      <w:tr>
        <w:tc>
          <w:tcPr>
            <w:tcW w:type="dxa" w:w="2280"/>
          </w:tcPr>
          <w:p>
            <w:r>
              <w:rPr>
                <w:sz w:val="18"/>
              </w:rPr>
              <w:t>GRI 413</w:t>
            </w:r>
          </w:p>
        </w:tc>
        <w:tc>
          <w:tcPr>
            <w:tcW w:type="dxa" w:w="2280"/>
          </w:tcPr>
          <w:p>
            <w:r>
              <w:rPr>
                <w:sz w:val="18"/>
              </w:rPr>
              <w:t>413-1 Local communities</w:t>
            </w:r>
          </w:p>
        </w:tc>
        <w:tc>
          <w:tcPr>
            <w:tcW w:type="dxa" w:w="2280"/>
          </w:tcPr>
          <w:p>
            <w:r>
              <w:rPr>
                <w:sz w:val="18"/>
              </w:rPr>
              <w:t>MYR 84M CSR; 42 communities</w:t>
            </w:r>
          </w:p>
        </w:tc>
        <w:tc>
          <w:tcPr>
            <w:tcW w:type="dxa" w:w="2280"/>
          </w:tcPr>
          <w:p>
            <w:r>
              <w:rPr>
                <w:sz w:val="18"/>
              </w:rPr>
              <w:t>Section 5 this document</w:t>
            </w:r>
          </w:p>
        </w:tc>
      </w:tr>
    </w:tbl>
    <w:p/>
    <w:p>
      <w:pPr>
        <w:jc w:val="center"/>
      </w:pPr>
      <w:r>
        <w:rPr>
          <w:color w:val="6B7280"/>
          <w:sz w:val="18"/>
        </w:rPr>
        <w:t>Zava Group Holdings Berhad | ESG &amp; Sustainability Framework | FY2024 | CONFIDENTIAL</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