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2D55"/>
          <w:sz w:val="40"/>
        </w:rPr>
        <w:t>ZAVA AGRIBUSINESS SDN BHD</w:t>
      </w:r>
    </w:p>
    <w:p>
      <w:pPr>
        <w:jc w:val="center"/>
      </w:pPr>
      <w:r>
        <w:rPr>
          <w:b/>
          <w:color w:val="C0392B"/>
          <w:sz w:val="40"/>
        </w:rPr>
        <w:t>RSPO SURVEILLANCE AUDIT REPORT &amp;</w:t>
        <w:br/>
        <w:t>CORRECTIVE ACTION PLAN</w:t>
      </w:r>
    </w:p>
    <w:p>
      <w:pPr>
        <w:jc w:val="center"/>
      </w:pPr>
      <w:r>
        <w:rPr>
          <w:color w:val="1A1A2E"/>
          <w:sz w:val="24"/>
        </w:rPr>
        <w:t>Perkebunan Lestari -- East Kalimantan, Indonesia</w:t>
        <w:br/>
        <w:t>RSPO Certification Body: Control Union Certifications (CUC)</w:t>
        <w:br/>
        <w:t>Audit Date: 2-6 September 2024 | Report Date: 20 September 2024</w:t>
      </w:r>
    </w:p>
    <w:p/>
    <w:p>
      <w:pPr>
        <w:jc w:val="center"/>
      </w:pPr>
      <w:r>
        <w:rPr>
          <w:b/>
          <w:color w:val="C0392B"/>
          <w:sz w:val="26"/>
        </w:rPr>
        <w:t>CERTIFICATION STATUS: SUSPENDED</w:t>
        <w:br/>
        <w:t>4 MAJOR NONCONFORMANCES | 8 MINOR NONCONFORMANCES</w:t>
        <w:br/>
        <w:t>Certification Number: RSPO-CUC-00891-MY/ID [SUSPENDED]</w:t>
      </w:r>
    </w:p>
    <w:p>
      <w:r>
        <w:br w:type="page"/>
      </w:r>
    </w:p>
    <w:p>
      <w:pPr>
        <w:spacing w:before="360" w:after="120"/>
      </w:pPr>
      <w:r>
        <w:rPr>
          <w:b/>
          <w:color w:val="1F2D55"/>
          <w:sz w:val="32"/>
        </w:rPr>
        <w:t>Section 1: Audit Summary &amp; Certificate Status</w:t>
      </w:r>
    </w:p>
    <w:p>
      <w:pPr>
        <w:spacing w:after="100"/>
      </w:pPr>
      <w:r>
        <w:rPr>
          <w:color w:val="1A1A2E"/>
          <w:sz w:val="21"/>
        </w:rPr>
        <w:t>Control Union Certifications conducted the annual surveillance audit of Perkebunan Lestari, East Kalimantan (11,200 ha, 9,400 ha mature), a plantation management unit (PMU) under Zava Agribusiness SDN Bhd, from 2 to 6 September 2024. The audit was conducted against the RSPO Principles &amp; Criteria (P&amp;C) 2018.</w:t>
      </w:r>
    </w:p>
    <w:p>
      <w:pPr>
        <w:spacing w:after="100"/>
      </w:pPr>
      <w:r>
        <w:rPr>
          <w:color w:val="1A1A2E"/>
          <w:sz w:val="21"/>
        </w:rPr>
        <w:t>The audit identified 4 Major Nonconformances (MNCs) and 8 Minor Nonconformances (mncs). Under RSPO rules, a single unresolved Major NC results in suspension of certification. The certification was formally suspended by RSPO Secretariat on 15 September 2024, effective immediately.</w:t>
      </w:r>
    </w:p>
    <w:p>
      <w:pPr>
        <w:spacing w:after="80"/>
      </w:pPr>
      <w:r>
        <w:rPr>
          <w:b/>
          <w:color w:val="C0392B"/>
          <w:sz w:val="20"/>
        </w:rPr>
        <w:t xml:space="preserve">Certification Details: </w:t>
      </w:r>
      <w:r>
        <w:rPr>
          <w:color w:val="1A1A2E"/>
          <w:sz w:val="20"/>
        </w:rPr>
        <w:t>PMU: Perkebunan Lestari | Planted Area: 11,200 ha (JV 95% Zava) | Country: East Kalimantan, Indonesia | CB: Control Union Certifications | Cert No: RSPO-CUC-00891 [SUSPENDED]</w:t>
      </w:r>
    </w:p>
    <w:p>
      <w:pPr>
        <w:spacing w:before="200" w:after="80"/>
      </w:pPr>
      <w:r>
        <w:rPr>
          <w:b/>
          <w:color w:val="167A48"/>
          <w:sz w:val="26"/>
        </w:rPr>
        <w:t>1.1 Audit Team</w:t>
      </w:r>
    </w:p>
    <w:p>
      <w:pPr>
        <w:pStyle w:val="ListBullet"/>
        <w:spacing w:after="60"/>
        <w:ind w:left="360"/>
      </w:pPr>
      <w:r>
        <w:rPr>
          <w:color w:val="1A1A2E"/>
          <w:sz w:val="21"/>
        </w:rPr>
        <w:t>Lead Auditor: Dr. Samsuri bin Abdullah (CUC Indonesia, RSPO Approved CB Auditor, ISO 17021 certified)</w:t>
      </w:r>
    </w:p>
    <w:p>
      <w:pPr>
        <w:pStyle w:val="ListBullet"/>
        <w:spacing w:after="60"/>
        <w:ind w:left="360"/>
      </w:pPr>
      <w:r>
        <w:rPr>
          <w:color w:val="1A1A2E"/>
          <w:sz w:val="21"/>
        </w:rPr>
        <w:t>Technical Expert (Peatland): Prof. Wirawan Kusuma, Universitas Gadjah Mada (contracted specialist)</w:t>
      </w:r>
    </w:p>
    <w:p>
      <w:pPr>
        <w:pStyle w:val="ListBullet"/>
        <w:spacing w:after="60"/>
        <w:ind w:left="360"/>
      </w:pPr>
      <w:r>
        <w:rPr>
          <w:color w:val="1A1A2E"/>
          <w:sz w:val="21"/>
        </w:rPr>
        <w:t>Social Auditor: Ms. Ratna Dewi Suharto, CUC Jakarta (labour rights specialisation)</w:t>
      </w:r>
    </w:p>
    <w:p>
      <w:pPr>
        <w:pStyle w:val="ListBullet"/>
        <w:spacing w:after="60"/>
        <w:ind w:left="360"/>
      </w:pPr>
      <w:r>
        <w:rPr>
          <w:color w:val="1A1A2E"/>
          <w:sz w:val="21"/>
        </w:rPr>
        <w:t>Accompanying Observer: WWF-Indonesia (sustainability NGO, invited as RSPO stakeholder)</w:t>
      </w:r>
    </w:p>
    <w:p>
      <w:r>
        <w:br w:type="page"/>
      </w:r>
    </w:p>
    <w:p>
      <w:pPr>
        <w:spacing w:before="360" w:after="120"/>
      </w:pPr>
      <w:r>
        <w:rPr>
          <w:b/>
          <w:color w:val="1F2D55"/>
          <w:sz w:val="32"/>
        </w:rPr>
        <w:t>Section 2: Major Nonconformances (4)</w:t>
      </w:r>
    </w:p>
    <w:p>
      <w:pPr>
        <w:spacing w:before="160" w:after="40"/>
      </w:pPr>
      <w:r>
        <w:rPr>
          <w:b/>
          <w:color w:val="C0392B"/>
          <w:sz w:val="22"/>
        </w:rPr>
        <w:t>MNC-01: Peatland Cultivation (RSPO P&amp;C 2018, Criterion 4.3.3)</w:t>
      </w:r>
    </w:p>
    <w:p>
      <w:pPr>
        <w:spacing w:after="80"/>
      </w:pPr>
      <w:r>
        <w:rPr>
          <w:b/>
          <w:color w:val="C0392B"/>
          <w:sz w:val="20"/>
        </w:rPr>
        <w:t xml:space="preserve">Status: </w:t>
      </w:r>
      <w:r>
        <w:rPr>
          <w:color w:val="1A1A2E"/>
          <w:sz w:val="20"/>
        </w:rPr>
        <w:t>OPEN | Category: No Peat | RSPO Requirement: No new planting on peat of any depth; existing peat must have Water Management Plan</w:t>
      </w:r>
    </w:p>
    <w:p>
      <w:pPr>
        <w:spacing w:after="100"/>
      </w:pPr>
      <w:r>
        <w:rPr>
          <w:color w:val="1A1A2E"/>
          <w:sz w:val="21"/>
        </w:rPr>
        <w:t>Finding: Peat depth surveys conducted during audit identified 8,200 ha of the 9,400 ha mature area with peat depth exceeding 3 metres (median depth 4.2m, maximum 6.8m). Operations have continued on this peatland since at least 2014 without a formal Peat Water Management Plan (PWMP). Subsidence monitoring stations installed in FY2023 but data not analysed or acted upon. Subsidence rate measured at 3.2 cm/yr in Block G12-G18.</w:t>
      </w:r>
    </w:p>
    <w:p>
      <w:pPr>
        <w:spacing w:after="100"/>
      </w:pPr>
      <w:r>
        <w:rPr>
          <w:color w:val="1A1A2E"/>
          <w:sz w:val="21"/>
        </w:rPr>
        <w:t>RSPO Criterion 4.3.3 states: "There shall be no new planting on peat regardless of depth." Existing peat operations require a PWMP approved by independent specialist, with active management to raise water table to within 40cm of surface.</w:t>
      </w:r>
    </w:p>
    <w:p>
      <w:pPr>
        <w:pStyle w:val="ListBullet"/>
        <w:spacing w:after="60"/>
        <w:ind w:left="360"/>
      </w:pPr>
      <w:r>
        <w:rPr>
          <w:color w:val="1A1A2E"/>
          <w:sz w:val="21"/>
        </w:rPr>
        <w:t>Root Cause: Original concession pre-dates RSPO peat policy; insufficient due diligence at JV acquisition in 2014</w:t>
      </w:r>
    </w:p>
    <w:p>
      <w:pPr>
        <w:pStyle w:val="ListBullet"/>
        <w:spacing w:after="60"/>
        <w:ind w:left="360"/>
      </w:pPr>
      <w:r>
        <w:rPr>
          <w:color w:val="1A1A2E"/>
          <w:sz w:val="21"/>
        </w:rPr>
        <w:t>Corrective Action Plan: Engage Dr. Wetlands (accredited RSPO peat specialist) to develop PWMP by Q2 FY2025</w:t>
      </w:r>
    </w:p>
    <w:p>
      <w:pPr>
        <w:pStyle w:val="ListBullet"/>
        <w:spacing w:after="60"/>
        <w:ind w:left="360"/>
      </w:pPr>
      <w:r>
        <w:rPr>
          <w:color w:val="1A1A2E"/>
          <w:sz w:val="21"/>
        </w:rPr>
        <w:t>Peat rewetting: Install 128 water table management structures (canal blocking) across Blocks G1-G22; estimated cost IDR 42B</w:t>
      </w:r>
    </w:p>
    <w:p>
      <w:pPr>
        <w:pStyle w:val="ListBullet"/>
        <w:spacing w:after="60"/>
        <w:ind w:left="360"/>
      </w:pPr>
      <w:r>
        <w:rPr>
          <w:color w:val="1A1A2E"/>
          <w:sz w:val="21"/>
        </w:rPr>
        <w:t>Long-term: 1,200 ha of the most critically deep peat (&gt;5m) to be de-planted and rewetted by FY2027</w:t>
      </w:r>
    </w:p>
    <w:p>
      <w:pPr>
        <w:pStyle w:val="ListBullet"/>
        <w:spacing w:after="60"/>
        <w:ind w:left="360"/>
      </w:pPr>
      <w:r>
        <w:rPr>
          <w:color w:val="1A1A2E"/>
          <w:sz w:val="21"/>
        </w:rPr>
        <w:t>Required evidence for closure: Approved PWMP, water table monitoring at 40cm, first annual progress report</w:t>
      </w:r>
    </w:p>
    <w:p>
      <w:pPr>
        <w:spacing w:after="80"/>
      </w:pPr>
      <w:r>
        <w:rPr>
          <w:b/>
          <w:color w:val="C0392B"/>
          <w:sz w:val="20"/>
        </w:rPr>
        <w:t xml:space="preserve">Target Closure: </w:t>
      </w:r>
      <w:r>
        <w:rPr>
          <w:color w:val="1A1A2E"/>
          <w:sz w:val="20"/>
        </w:rPr>
        <w:t>Q | 4 |   | F | Y | 2 | 0 | 2 | 5 |   | ( | o | p | t | i | m | i | s | t | i | c | ) |   | | |   | C | o | s | t |   | e | s | t | i | m | a | t | e |   | I | D | R |   | 8 | 5 | B |   | t | o | t | a | l |   | p | e | a | t |   | p | r | o | g | r | a | m | m | e</w:t>
      </w:r>
    </w:p>
    <w:p>
      <w:pPr>
        <w:spacing w:before="160" w:after="40"/>
      </w:pPr>
      <w:r>
        <w:rPr>
          <w:b/>
          <w:color w:val="C0392B"/>
          <w:sz w:val="22"/>
        </w:rPr>
        <w:t>MNC-02: Deforestation (RSPO P&amp;C 2018, Criterion 7.3.1)</w:t>
      </w:r>
    </w:p>
    <w:p>
      <w:pPr>
        <w:spacing w:after="80"/>
      </w:pPr>
      <w:r>
        <w:rPr>
          <w:b/>
          <w:color w:val="C0392B"/>
          <w:sz w:val="20"/>
        </w:rPr>
        <w:t xml:space="preserve">Status: </w:t>
      </w:r>
      <w:r>
        <w:rPr>
          <w:color w:val="1A1A2E"/>
          <w:sz w:val="20"/>
        </w:rPr>
        <w:t>OPEN | Category: No Deforestation | RSPO Requirement: No conversion of primary forest or HCV/HCS areas after November 2005</w:t>
      </w:r>
    </w:p>
    <w:p>
      <w:pPr>
        <w:spacing w:after="100"/>
      </w:pPr>
      <w:r>
        <w:rPr>
          <w:color w:val="1A1A2E"/>
          <w:sz w:val="21"/>
        </w:rPr>
        <w:t>Finding: Satellite analysis by Auriga Nusantara (contracted by CUC) identified 42 hectares of High Carbon Stock (HCS) forest converted to oil palm in Block E4 and Block F7 during Q2 FY2023. Forest loss confirmed via Global Forest Watch Integrated Deforestation Alerts (GLAD alerts June-August 2023). Conversion occurred outside the original HCS Assessment boundary (conducted 2016 -- not updated since). Local land use planning expansion approved internally without re-running HCS assessment.</w:t>
      </w:r>
    </w:p>
    <w:p>
      <w:pPr>
        <w:pStyle w:val="ListBullet"/>
        <w:spacing w:after="60"/>
        <w:ind w:left="360"/>
      </w:pPr>
      <w:r>
        <w:rPr>
          <w:color w:val="1A1A2E"/>
          <w:sz w:val="21"/>
        </w:rPr>
        <w:t>Root Cause: Expansion decision approved by local estate management without mandatory Group-level ESG screening</w:t>
      </w:r>
    </w:p>
    <w:p>
      <w:pPr>
        <w:pStyle w:val="ListBullet"/>
        <w:spacing w:after="60"/>
        <w:ind w:left="360"/>
      </w:pPr>
      <w:r>
        <w:rPr>
          <w:color w:val="1A1A2E"/>
          <w:sz w:val="21"/>
        </w:rPr>
        <w:t>Corrective Action: 42 ha immediately ring-fenced; no further operations. Replant with mixed native species (min 80% native Kalimantan species) by Q4 FY2025</w:t>
      </w:r>
    </w:p>
    <w:p>
      <w:pPr>
        <w:pStyle w:val="ListBullet"/>
        <w:spacing w:after="60"/>
        <w:ind w:left="360"/>
      </w:pPr>
      <w:r>
        <w:rPr>
          <w:color w:val="1A1A2E"/>
          <w:sz w:val="21"/>
        </w:rPr>
        <w:t>Monitoring: Annual satellite review for all 12 estates using Planet Labs (5m resolution) -- contracted FY2025</w:t>
      </w:r>
    </w:p>
    <w:p>
      <w:pPr>
        <w:pStyle w:val="ListBullet"/>
        <w:spacing w:after="60"/>
        <w:ind w:left="360"/>
      </w:pPr>
      <w:r>
        <w:rPr>
          <w:color w:val="1A1A2E"/>
          <w:sz w:val="21"/>
        </w:rPr>
        <w:t>Governance: Any expansion &gt;5 ha now requires Group ESG Director sign-off and HCS re-assessment</w:t>
      </w:r>
    </w:p>
    <w:p>
      <w:pPr>
        <w:spacing w:after="80"/>
      </w:pPr>
      <w:r>
        <w:rPr>
          <w:b/>
          <w:color w:val="C0392B"/>
          <w:sz w:val="20"/>
        </w:rPr>
        <w:t xml:space="preserve">Target Closure: </w:t>
      </w:r>
      <w:r>
        <w:rPr>
          <w:color w:val="1A1A2E"/>
          <w:sz w:val="20"/>
        </w:rPr>
        <w:t>Q | 4 |   | F | Y | 2 | 0 | 2 | 5 |   | | |   | R | e | p | l | a | n | t | i | n | g |   | c | o | s | t |   | I | D | R |   | 8 | . | 4 | B |   | | |   | H | C | S |   | r | e | - | a | s | s | e | s | s | m | e | n | t |   | c | o | s | t |   | I | D | R |   | 1 | . | 2 | B</w:t>
      </w:r>
    </w:p>
    <w:p>
      <w:pPr>
        <w:spacing w:before="160" w:after="40"/>
      </w:pPr>
      <w:r>
        <w:rPr>
          <w:b/>
          <w:color w:val="C0392B"/>
          <w:sz w:val="22"/>
        </w:rPr>
        <w:t>MNC-03: Worker Rights -- Passport Retention (ILO Forced Labour Convention No. 29)</w:t>
      </w:r>
    </w:p>
    <w:p>
      <w:pPr>
        <w:spacing w:after="80"/>
      </w:pPr>
      <w:r>
        <w:rPr>
          <w:b/>
          <w:color w:val="C0392B"/>
          <w:sz w:val="20"/>
        </w:rPr>
        <w:t xml:space="preserve">Status: </w:t>
      </w:r>
      <w:r>
        <w:rPr>
          <w:color w:val="1A1A2E"/>
          <w:sz w:val="20"/>
        </w:rPr>
        <w:t>CLOSED -- 20 February 2025 | Category: Labour Rights | RSPO Requirement: No forced or trafficked labour; workers free to retain personal documents</w:t>
      </w:r>
    </w:p>
    <w:p>
      <w:pPr>
        <w:spacing w:after="100"/>
      </w:pPr>
      <w:r>
        <w:rPr>
          <w:color w:val="1A1A2E"/>
          <w:sz w:val="21"/>
        </w:rPr>
        <w:t>Finding: During field worker interviews (24 Indonesian migrant workers from East Java and Madura), 24 workers reported that labour recruitment contractor PT Mandiri Karya Sejahtera retained their passports as "safekeeping." Workers were unable to independently access their passports. 3 workers reported they could not leave employment without contractor permission. Recruitment fees of IDR 3.5-5.0M reported paid by workers prior to deployment.</w:t>
      </w:r>
    </w:p>
    <w:p>
      <w:pPr>
        <w:spacing w:after="100"/>
      </w:pPr>
      <w:r>
        <w:rPr>
          <w:color w:val="1A1A2E"/>
          <w:sz w:val="21"/>
        </w:rPr>
        <w:t>RSPO requires immediate return of documents upon worker request and zero recruitment fees charged to workers.</w:t>
      </w:r>
    </w:p>
    <w:p>
      <w:pPr>
        <w:pStyle w:val="ListBullet"/>
        <w:spacing w:after="60"/>
        <w:ind w:left="360"/>
      </w:pPr>
      <w:r>
        <w:rPr>
          <w:color w:val="1A1A2E"/>
          <w:sz w:val="21"/>
        </w:rPr>
        <w:t>Immediate Action (11 Sep 2024): All 24 passports returned to workers within 24 hours of audit finding</w:t>
      </w:r>
    </w:p>
    <w:p>
      <w:pPr>
        <w:pStyle w:val="ListBullet"/>
        <w:spacing w:after="60"/>
        <w:ind w:left="360"/>
      </w:pPr>
      <w:r>
        <w:rPr>
          <w:color w:val="1A1A2E"/>
          <w:sz w:val="21"/>
        </w:rPr>
        <w:t>Contract terminated: PT Mandiri Karya Sejahtera contract terminated 15 Sep 2024; final settlement paid including refund of recruitment fees</w:t>
      </w:r>
    </w:p>
    <w:p>
      <w:pPr>
        <w:pStyle w:val="ListBullet"/>
        <w:spacing w:after="60"/>
        <w:ind w:left="360"/>
      </w:pPr>
      <w:r>
        <w:rPr>
          <w:color w:val="1A1A2E"/>
          <w:sz w:val="21"/>
        </w:rPr>
        <w:t>Workers: 24 workers offered continued employment or voluntary termination with full severance. 18 remained, 6 voluntarily departed</w:t>
      </w:r>
    </w:p>
    <w:p>
      <w:pPr>
        <w:pStyle w:val="ListBullet"/>
        <w:spacing w:after="60"/>
        <w:ind w:left="360"/>
      </w:pPr>
      <w:r>
        <w:rPr>
          <w:color w:val="1A1A2E"/>
          <w:sz w:val="21"/>
        </w:rPr>
        <w:t>Compensation: IDR 15.8M paid to 6 departing workers (plus IDR 3.5-5.0M recruitment fee reimbursement each)</w:t>
      </w:r>
    </w:p>
    <w:p>
      <w:pPr>
        <w:pStyle w:val="ListBullet"/>
        <w:spacing w:after="60"/>
        <w:ind w:left="360"/>
      </w:pPr>
      <w:r>
        <w:rPr>
          <w:color w:val="1A1A2E"/>
          <w:sz w:val="21"/>
        </w:rPr>
        <w:t>Prevention: All 3rd-party labour contractors now screened against ILO Forced Labour indicators; passport retention strictly prohibited in all contracts</w:t>
      </w:r>
    </w:p>
    <w:p>
      <w:pPr>
        <w:pStyle w:val="ListBullet"/>
        <w:spacing w:after="60"/>
        <w:ind w:left="360"/>
      </w:pPr>
      <w:r>
        <w:rPr>
          <w:color w:val="1A1A2E"/>
          <w:sz w:val="21"/>
        </w:rPr>
        <w:t>Verification: CUC remote verification audit conducted 15 Jan 2025 confirmed closure. RSPO Secretariat notified of closure 20 Feb 2025</w:t>
      </w:r>
    </w:p>
    <w:p>
      <w:pPr>
        <w:spacing w:after="80"/>
      </w:pPr>
      <w:r>
        <w:rPr>
          <w:b/>
          <w:color w:val="C0392B"/>
          <w:sz w:val="20"/>
        </w:rPr>
        <w:t xml:space="preserve">Closure Date: </w:t>
      </w:r>
      <w:r>
        <w:rPr>
          <w:color w:val="1A1A2E"/>
          <w:sz w:val="20"/>
        </w:rPr>
        <w:t>2 | 0 |   | F | e | b | r | u | a | r | y |   | 2 | 0 | 2 | 5 |   | | |   | V | e | r | i | f | i | e | d |   | b | y |   | C | U | C |   | | |   | R | S | P | O |   | S | e | c | r | e | t | a | r | i | a | t |   | a | c | k | n | o | w | l | e | d | g | e | d</w:t>
      </w:r>
    </w:p>
    <w:p>
      <w:pPr>
        <w:spacing w:before="160" w:after="40"/>
      </w:pPr>
      <w:r>
        <w:rPr>
          <w:b/>
          <w:color w:val="C0392B"/>
          <w:sz w:val="22"/>
        </w:rPr>
        <w:t>MNC-04: EUDR Compliance -- No Geolocation Data (EUDR Article 3)</w:t>
      </w:r>
    </w:p>
    <w:p>
      <w:pPr>
        <w:spacing w:after="80"/>
      </w:pPr>
      <w:r>
        <w:rPr>
          <w:b/>
          <w:color w:val="C0392B"/>
          <w:sz w:val="20"/>
        </w:rPr>
        <w:t xml:space="preserve">Status: </w:t>
      </w:r>
      <w:r>
        <w:rPr>
          <w:color w:val="1A1A2E"/>
          <w:sz w:val="20"/>
        </w:rPr>
        <w:t>OPEN | Category: Traceability/EUDR | RSPO Requirement: Plot-level GPS data required for EUDR-linked certification from Dec 2025</w:t>
      </w:r>
    </w:p>
    <w:p>
      <w:pPr>
        <w:spacing w:after="100"/>
      </w:pPr>
      <w:r>
        <w:rPr>
          <w:color w:val="1A1A2E"/>
          <w:sz w:val="21"/>
        </w:rPr>
        <w:t>Finding: Perkebunan Lestari has no GPS boundary polygon data for individual planting blocks. The estate uses manual survey stakes (1970s-era boundary markers). The RSPO Secretariat has confirmed that certifications must align with EUDR Article 3 geolocation requirements for exports to the EU by 30 December 2025. Without GPS plot data, the estate cannot issue EUDR-compliant due diligence statements.</w:t>
      </w:r>
    </w:p>
    <w:p>
      <w:pPr>
        <w:pStyle w:val="ListBullet"/>
        <w:spacing w:after="60"/>
        <w:ind w:left="360"/>
      </w:pPr>
      <w:r>
        <w:rPr>
          <w:color w:val="1A1A2E"/>
          <w:sz w:val="21"/>
        </w:rPr>
        <w:t>Corrective Action: Commission LIDAR + GPS boundary survey for all 486 planting blocks (11,200 ha) -- completed by Q3 FY2025</w:t>
      </w:r>
    </w:p>
    <w:p>
      <w:pPr>
        <w:pStyle w:val="ListBullet"/>
        <w:spacing w:after="60"/>
        <w:ind w:left="360"/>
      </w:pPr>
      <w:r>
        <w:rPr>
          <w:color w:val="1A1A2E"/>
          <w:sz w:val="21"/>
        </w:rPr>
        <w:t>Platform: Upload to RSPO ACOP system and integrate with EUDR traceability platform (Satelligence selected as vendor)</w:t>
      </w:r>
    </w:p>
    <w:p>
      <w:pPr>
        <w:pStyle w:val="ListBullet"/>
        <w:spacing w:after="60"/>
        <w:ind w:left="360"/>
      </w:pPr>
      <w:r>
        <w:rPr>
          <w:color w:val="1A1A2E"/>
          <w:sz w:val="21"/>
        </w:rPr>
        <w:t>Third-party supplier: 284 registered independent smallholder plots supplying Lestari mill also require GPS mapping by Dec 2025</w:t>
      </w:r>
    </w:p>
    <w:p>
      <w:pPr>
        <w:pStyle w:val="ListBullet"/>
        <w:spacing w:after="60"/>
        <w:ind w:left="360"/>
      </w:pPr>
      <w:r>
        <w:rPr>
          <w:color w:val="1A1A2E"/>
          <w:sz w:val="21"/>
        </w:rPr>
        <w:t>EU market: 3 EU customers notified of EUDR delay; agree alternative supply from RSPO-certified PT Zava Agro Sumatra pending resolution</w:t>
      </w:r>
    </w:p>
    <w:p>
      <w:pPr>
        <w:spacing w:after="80"/>
      </w:pPr>
      <w:r>
        <w:rPr>
          <w:b/>
          <w:color w:val="C0392B"/>
          <w:sz w:val="20"/>
        </w:rPr>
        <w:t xml:space="preserve">Target Closure: </w:t>
      </w:r>
      <w:r>
        <w:rPr>
          <w:color w:val="1A1A2E"/>
          <w:sz w:val="20"/>
        </w:rPr>
        <w:t>Q | 3 |   | F | Y | 2 | 0 | 2 | 5 |   | | |   | S | u | r | v | e | y |   | c | o | s | t |   | I | D | R |   | 4 | . | 8 | B |   | | |   | P | l | a | t | f | o | r | m |   | c | o | s | t |   | I | D | R |   | 1 | . | 2 | B | / | y | r</w:t>
      </w:r>
    </w:p>
    <w:p>
      <w:r>
        <w:br w:type="page"/>
      </w:r>
    </w:p>
    <w:p>
      <w:pPr>
        <w:spacing w:before="360" w:after="120"/>
      </w:pPr>
      <w:r>
        <w:rPr>
          <w:b/>
          <w:color w:val="1F2D55"/>
          <w:sz w:val="32"/>
        </w:rPr>
        <w:t>Section 3: Minor Nonconformances (8)</w:t>
      </w:r>
    </w:p>
    <w:p>
      <w:pPr>
        <w:spacing w:after="100"/>
      </w:pPr>
      <w:r>
        <w:rPr>
          <w:color w:val="1A1A2E"/>
          <w:sz w:val="21"/>
        </w:rPr>
        <w:t>Minor NCs do not result in suspension but must be closed within 12 months of audit date (September 2025). Progress must be demonstrated at next surveillance audit.</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tc>
        <w:tc>
          <w:tcPr>
            <w:tcW w:type="dxa" w:w="1824"/>
          </w:tcPr>
          <w:p/>
        </w:tc>
        <w:tc>
          <w:tcPr>
            <w:tcW w:type="dxa" w:w="1824"/>
          </w:tcPr>
          <w:p/>
        </w:tc>
        <w:tc>
          <w:tcPr>
            <w:tcW w:type="dxa" w:w="1824"/>
          </w:tcPr>
          <w:p/>
        </w:tc>
        <w:tc>
          <w:tcPr>
            <w:tcW w:type="dxa" w:w="1824"/>
          </w:tcPr>
          <w:p/>
        </w:tc>
      </w:tr>
      <w:tr>
        <w:tc>
          <w:tcPr>
            <w:tcW w:type="dxa" w:w="1824"/>
            <w:shd w:val="clear" w:color="auto" w:fill="16764A"/>
          </w:tcPr>
          <w:p>
            <w:r>
              <w:rPr>
                <w:b/>
                <w:sz w:val="18"/>
              </w:rPr>
              <w:t>mnc Ref</w:t>
            </w:r>
          </w:p>
        </w:tc>
        <w:tc>
          <w:tcPr>
            <w:tcW w:type="dxa" w:w="1824"/>
            <w:shd w:val="clear" w:color="auto" w:fill="16764A"/>
          </w:tcPr>
          <w:p>
            <w:r>
              <w:rPr>
                <w:b/>
                <w:sz w:val="18"/>
              </w:rPr>
              <w:t>Criterion</w:t>
            </w:r>
          </w:p>
        </w:tc>
        <w:tc>
          <w:tcPr>
            <w:tcW w:type="dxa" w:w="1824"/>
            <w:shd w:val="clear" w:color="auto" w:fill="16764A"/>
          </w:tcPr>
          <w:p>
            <w:r>
              <w:rPr>
                <w:b/>
                <w:sz w:val="18"/>
              </w:rPr>
              <w:t>Finding</w:t>
            </w:r>
          </w:p>
        </w:tc>
        <w:tc>
          <w:tcPr>
            <w:tcW w:type="dxa" w:w="1824"/>
            <w:shd w:val="clear" w:color="auto" w:fill="16764A"/>
          </w:tcPr>
          <w:p>
            <w:r>
              <w:rPr>
                <w:b/>
                <w:sz w:val="18"/>
              </w:rPr>
              <w:t>Corrective Action</w:t>
            </w:r>
          </w:p>
        </w:tc>
        <w:tc>
          <w:tcPr>
            <w:tcW w:type="dxa" w:w="1824"/>
            <w:shd w:val="clear" w:color="auto" w:fill="16764A"/>
          </w:tcPr>
          <w:p>
            <w:r>
              <w:rPr>
                <w:b/>
                <w:sz w:val="18"/>
              </w:rPr>
              <w:t>Status</w:t>
            </w:r>
          </w:p>
        </w:tc>
      </w:tr>
      <w:tr>
        <w:tc>
          <w:tcPr>
            <w:tcW w:type="dxa" w:w="1824"/>
          </w:tcPr>
          <w:p>
            <w:r>
              <w:rPr>
                <w:b w:val="0"/>
                <w:sz w:val="18"/>
              </w:rPr>
              <w:t>mnc-01</w:t>
            </w:r>
          </w:p>
        </w:tc>
        <w:tc>
          <w:tcPr>
            <w:tcW w:type="dxa" w:w="1824"/>
          </w:tcPr>
          <w:p>
            <w:r>
              <w:rPr>
                <w:b w:val="0"/>
                <w:sz w:val="18"/>
              </w:rPr>
              <w:t>P&amp;C 4.4.1 Water management</w:t>
            </w:r>
          </w:p>
        </w:tc>
        <w:tc>
          <w:tcPr>
            <w:tcW w:type="dxa" w:w="1824"/>
          </w:tcPr>
          <w:p>
            <w:r>
              <w:rPr>
                <w:b w:val="0"/>
                <w:sz w:val="18"/>
              </w:rPr>
              <w:t>No riparian buffer zone of minimum 50m maintained on 3 main waterways</w:t>
            </w:r>
          </w:p>
        </w:tc>
        <w:tc>
          <w:tcPr>
            <w:tcW w:type="dxa" w:w="1824"/>
          </w:tcPr>
          <w:p>
            <w:r>
              <w:rPr>
                <w:b w:val="0"/>
                <w:sz w:val="18"/>
              </w:rPr>
              <w:t>Map riparian zones; retaper oil palms &gt;50m from waterways; replant with native species</w:t>
            </w:r>
          </w:p>
        </w:tc>
        <w:tc>
          <w:tcPr>
            <w:tcW w:type="dxa" w:w="1824"/>
          </w:tcPr>
          <w:p>
            <w:r>
              <w:rPr>
                <w:b w:val="0"/>
                <w:sz w:val="18"/>
              </w:rPr>
              <w:t>In progress -- 60% complete</w:t>
            </w:r>
          </w:p>
        </w:tc>
      </w:tr>
      <w:tr>
        <w:tc>
          <w:tcPr>
            <w:tcW w:type="dxa" w:w="1824"/>
          </w:tcPr>
          <w:p>
            <w:r>
              <w:rPr>
                <w:b w:val="0"/>
                <w:sz w:val="18"/>
              </w:rPr>
              <w:t>mnc-02</w:t>
            </w:r>
          </w:p>
        </w:tc>
        <w:tc>
          <w:tcPr>
            <w:tcW w:type="dxa" w:w="1824"/>
          </w:tcPr>
          <w:p>
            <w:r>
              <w:rPr>
                <w:b w:val="0"/>
                <w:sz w:val="18"/>
              </w:rPr>
              <w:t>P&amp;C 4.6.2 Pesticide records</w:t>
            </w:r>
          </w:p>
        </w:tc>
        <w:tc>
          <w:tcPr>
            <w:tcW w:type="dxa" w:w="1824"/>
          </w:tcPr>
          <w:p>
            <w:r>
              <w:rPr>
                <w:b w:val="0"/>
                <w:sz w:val="18"/>
              </w:rPr>
              <w:t>PARAQUAT usage recorded without evidence of Workers Restriction Certificate (WRC)</w:t>
            </w:r>
          </w:p>
        </w:tc>
        <w:tc>
          <w:tcPr>
            <w:tcW w:type="dxa" w:w="1824"/>
          </w:tcPr>
          <w:p>
            <w:r>
              <w:rPr>
                <w:b w:val="0"/>
                <w:sz w:val="18"/>
              </w:rPr>
              <w:t>Confirm all paraquat applicators hold WRC; retrain 84 applicators; update records</w:t>
            </w:r>
          </w:p>
        </w:tc>
        <w:tc>
          <w:tcPr>
            <w:tcW w:type="dxa" w:w="1824"/>
          </w:tcPr>
          <w:p>
            <w:r>
              <w:rPr>
                <w:b w:val="0"/>
                <w:sz w:val="18"/>
              </w:rPr>
              <w:t>Closed 15 Nov 2024</w:t>
            </w:r>
          </w:p>
        </w:tc>
      </w:tr>
      <w:tr>
        <w:tc>
          <w:tcPr>
            <w:tcW w:type="dxa" w:w="1824"/>
          </w:tcPr>
          <w:p>
            <w:r>
              <w:rPr>
                <w:b w:val="0"/>
                <w:sz w:val="18"/>
              </w:rPr>
              <w:t>mnc-03</w:t>
            </w:r>
          </w:p>
        </w:tc>
        <w:tc>
          <w:tcPr>
            <w:tcW w:type="dxa" w:w="1824"/>
          </w:tcPr>
          <w:p>
            <w:r>
              <w:rPr>
                <w:b w:val="0"/>
                <w:sz w:val="18"/>
              </w:rPr>
              <w:t>P&amp;C 6.3.1 Social Impact Assessment</w:t>
            </w:r>
          </w:p>
        </w:tc>
        <w:tc>
          <w:tcPr>
            <w:tcW w:type="dxa" w:w="1824"/>
          </w:tcPr>
          <w:p>
            <w:r>
              <w:rPr>
                <w:b w:val="0"/>
                <w:sz w:val="18"/>
              </w:rPr>
              <w:t>SIA last conducted 2019; not updated within 3-year RSPO cycle</w:t>
            </w:r>
          </w:p>
        </w:tc>
        <w:tc>
          <w:tcPr>
            <w:tcW w:type="dxa" w:w="1824"/>
          </w:tcPr>
          <w:p>
            <w:r>
              <w:rPr>
                <w:b w:val="0"/>
                <w:sz w:val="18"/>
              </w:rPr>
              <w:t>Commission updated SIA with affected communities; complete by Apr 2025</w:t>
            </w:r>
          </w:p>
        </w:tc>
        <w:tc>
          <w:tcPr>
            <w:tcW w:type="dxa" w:w="1824"/>
          </w:tcPr>
          <w:p>
            <w:r>
              <w:rPr>
                <w:b w:val="0"/>
                <w:sz w:val="18"/>
              </w:rPr>
              <w:t>In progress</w:t>
            </w:r>
          </w:p>
        </w:tc>
      </w:tr>
      <w:tr>
        <w:tc>
          <w:tcPr>
            <w:tcW w:type="dxa" w:w="1824"/>
          </w:tcPr>
          <w:p>
            <w:r>
              <w:rPr>
                <w:b w:val="0"/>
                <w:sz w:val="18"/>
              </w:rPr>
              <w:t>mnc-04</w:t>
            </w:r>
          </w:p>
        </w:tc>
        <w:tc>
          <w:tcPr>
            <w:tcW w:type="dxa" w:w="1824"/>
          </w:tcPr>
          <w:p>
            <w:r>
              <w:rPr>
                <w:b w:val="0"/>
                <w:sz w:val="18"/>
              </w:rPr>
              <w:t>P&amp;C 6.5.3 Minimum wage</w:t>
            </w:r>
          </w:p>
        </w:tc>
        <w:tc>
          <w:tcPr>
            <w:tcW w:type="dxa" w:w="1824"/>
          </w:tcPr>
          <w:p>
            <w:r>
              <w:rPr>
                <w:b w:val="0"/>
                <w:sz w:val="18"/>
              </w:rPr>
              <w:t>14 estate workers on legacy pay rates below current minimum wage (IDR 3,480,000/mo Kalimantan Timur)</w:t>
            </w:r>
          </w:p>
        </w:tc>
        <w:tc>
          <w:tcPr>
            <w:tcW w:type="dxa" w:w="1824"/>
          </w:tcPr>
          <w:p>
            <w:r>
              <w:rPr>
                <w:b w:val="0"/>
                <w:sz w:val="18"/>
              </w:rPr>
              <w:t>Backdated salary adjustments for 14 workers; payroll system updated</w:t>
            </w:r>
          </w:p>
        </w:tc>
        <w:tc>
          <w:tcPr>
            <w:tcW w:type="dxa" w:w="1824"/>
          </w:tcPr>
          <w:p>
            <w:r>
              <w:rPr>
                <w:b w:val="0"/>
                <w:sz w:val="18"/>
              </w:rPr>
              <w:t>Closed 1 Oct 2024</w:t>
            </w:r>
          </w:p>
        </w:tc>
      </w:tr>
      <w:tr>
        <w:tc>
          <w:tcPr>
            <w:tcW w:type="dxa" w:w="1824"/>
          </w:tcPr>
          <w:p>
            <w:r>
              <w:rPr>
                <w:b w:val="0"/>
                <w:sz w:val="18"/>
              </w:rPr>
              <w:t>mnc-05</w:t>
            </w:r>
          </w:p>
        </w:tc>
        <w:tc>
          <w:tcPr>
            <w:tcW w:type="dxa" w:w="1824"/>
          </w:tcPr>
          <w:p>
            <w:r>
              <w:rPr>
                <w:b w:val="0"/>
                <w:sz w:val="18"/>
              </w:rPr>
              <w:t>P&amp;C 2.2.1 Land use title</w:t>
            </w:r>
          </w:p>
        </w:tc>
        <w:tc>
          <w:tcPr>
            <w:tcW w:type="dxa" w:w="1824"/>
          </w:tcPr>
          <w:p>
            <w:r>
              <w:rPr>
                <w:b w:val="0"/>
                <w:sz w:val="18"/>
              </w:rPr>
              <w:t>3 of 14 sub-concession HGU (Hak Guna Usaha) land titles approaching expiry Dec 2026; no renewal application filed</w:t>
            </w:r>
          </w:p>
        </w:tc>
        <w:tc>
          <w:tcPr>
            <w:tcW w:type="dxa" w:w="1824"/>
          </w:tcPr>
          <w:p>
            <w:r>
              <w:rPr>
                <w:b w:val="0"/>
                <w:sz w:val="18"/>
              </w:rPr>
              <w:t>File HGU renewal with BPN (National Land Agency) by Jun 2025; engage legal adviser</w:t>
            </w:r>
          </w:p>
        </w:tc>
        <w:tc>
          <w:tcPr>
            <w:tcW w:type="dxa" w:w="1824"/>
          </w:tcPr>
          <w:p>
            <w:r>
              <w:rPr>
                <w:b w:val="0"/>
                <w:sz w:val="18"/>
              </w:rPr>
              <w:t>Not started</w:t>
            </w:r>
          </w:p>
        </w:tc>
      </w:tr>
      <w:tr>
        <w:tc>
          <w:tcPr>
            <w:tcW w:type="dxa" w:w="1824"/>
          </w:tcPr>
          <w:p>
            <w:r>
              <w:rPr>
                <w:b w:val="0"/>
                <w:sz w:val="18"/>
              </w:rPr>
              <w:t>mnc-06</w:t>
            </w:r>
          </w:p>
        </w:tc>
        <w:tc>
          <w:tcPr>
            <w:tcW w:type="dxa" w:w="1824"/>
          </w:tcPr>
          <w:p>
            <w:r>
              <w:rPr>
                <w:b w:val="0"/>
                <w:sz w:val="18"/>
              </w:rPr>
              <w:t>P&amp;C 4.1.2 SOPs</w:t>
            </w:r>
          </w:p>
        </w:tc>
        <w:tc>
          <w:tcPr>
            <w:tcW w:type="dxa" w:w="1824"/>
          </w:tcPr>
          <w:p>
            <w:r>
              <w:rPr>
                <w:b w:val="0"/>
                <w:sz w:val="18"/>
              </w:rPr>
              <w:t>11 SOPs not reviewed within required 3-year cycle (oldest: SOP-PL-011, 2018)</w:t>
            </w:r>
          </w:p>
        </w:tc>
        <w:tc>
          <w:tcPr>
            <w:tcW w:type="dxa" w:w="1824"/>
          </w:tcPr>
          <w:p>
            <w:r>
              <w:rPr>
                <w:b w:val="0"/>
                <w:sz w:val="18"/>
              </w:rPr>
              <w:t>SOP review schedule updated; 11 SOPs reviewed and updated by Dec 2024</w:t>
            </w:r>
          </w:p>
        </w:tc>
        <w:tc>
          <w:tcPr>
            <w:tcW w:type="dxa" w:w="1824"/>
          </w:tcPr>
          <w:p>
            <w:r>
              <w:rPr>
                <w:b w:val="0"/>
                <w:sz w:val="18"/>
              </w:rPr>
              <w:t>Closed Dec 2024</w:t>
            </w:r>
          </w:p>
        </w:tc>
      </w:tr>
      <w:tr>
        <w:tc>
          <w:tcPr>
            <w:tcW w:type="dxa" w:w="1824"/>
          </w:tcPr>
          <w:p>
            <w:r>
              <w:rPr>
                <w:b w:val="0"/>
                <w:sz w:val="18"/>
              </w:rPr>
              <w:t>mnc-07</w:t>
            </w:r>
          </w:p>
        </w:tc>
        <w:tc>
          <w:tcPr>
            <w:tcW w:type="dxa" w:w="1824"/>
          </w:tcPr>
          <w:p>
            <w:r>
              <w:rPr>
                <w:b w:val="0"/>
                <w:sz w:val="18"/>
              </w:rPr>
              <w:t>P&amp;C 5.1.1 Waste management</w:t>
            </w:r>
          </w:p>
        </w:tc>
        <w:tc>
          <w:tcPr>
            <w:tcW w:type="dxa" w:w="1824"/>
          </w:tcPr>
          <w:p>
            <w:r>
              <w:rPr>
                <w:b w:val="0"/>
                <w:sz w:val="18"/>
              </w:rPr>
              <w:t>Scheduled waste (SW306 lubricating oil) found stored without EPA-licensed contractor documentation</w:t>
            </w:r>
          </w:p>
        </w:tc>
        <w:tc>
          <w:tcPr>
            <w:tcW w:type="dxa" w:w="1824"/>
          </w:tcPr>
          <w:p>
            <w:r>
              <w:rPr>
                <w:b w:val="0"/>
                <w:sz w:val="18"/>
              </w:rPr>
              <w:t>Contract licensed SW contractor; all 18 months backlog disposed legally with manifests</w:t>
            </w:r>
          </w:p>
        </w:tc>
        <w:tc>
          <w:tcPr>
            <w:tcW w:type="dxa" w:w="1824"/>
          </w:tcPr>
          <w:p>
            <w:r>
              <w:rPr>
                <w:b w:val="0"/>
                <w:sz w:val="18"/>
              </w:rPr>
              <w:t>Closed Feb 2025</w:t>
            </w:r>
          </w:p>
        </w:tc>
      </w:tr>
      <w:tr>
        <w:tc>
          <w:tcPr>
            <w:tcW w:type="dxa" w:w="1824"/>
          </w:tcPr>
          <w:p>
            <w:r>
              <w:rPr>
                <w:b w:val="0"/>
                <w:sz w:val="18"/>
              </w:rPr>
              <w:t>mnc-08</w:t>
            </w:r>
          </w:p>
        </w:tc>
        <w:tc>
          <w:tcPr>
            <w:tcW w:type="dxa" w:w="1824"/>
          </w:tcPr>
          <w:p>
            <w:r>
              <w:rPr>
                <w:b w:val="0"/>
                <w:sz w:val="18"/>
              </w:rPr>
              <w:t>P&amp;C 4.7.1 OHS Training records</w:t>
            </w:r>
          </w:p>
        </w:tc>
        <w:tc>
          <w:tcPr>
            <w:tcW w:type="dxa" w:w="1824"/>
          </w:tcPr>
          <w:p>
            <w:r>
              <w:rPr>
                <w:b w:val="0"/>
                <w:sz w:val="18"/>
              </w:rPr>
              <w:t>PPE usage training records for 346 field workers not maintained; no training attendance sheets</w:t>
            </w:r>
          </w:p>
        </w:tc>
        <w:tc>
          <w:tcPr>
            <w:tcW w:type="dxa" w:w="1824"/>
          </w:tcPr>
          <w:p>
            <w:r>
              <w:rPr>
                <w:b w:val="0"/>
                <w:sz w:val="18"/>
              </w:rPr>
              <w:t>Implement digital training register; backfill training records for existing workforce</w:t>
            </w:r>
          </w:p>
        </w:tc>
        <w:tc>
          <w:tcPr>
            <w:tcW w:type="dxa" w:w="1824"/>
          </w:tcPr>
          <w:p>
            <w:r>
              <w:rPr>
                <w:b w:val="0"/>
                <w:sz w:val="18"/>
              </w:rPr>
              <w:t>In progress -- 45% complete</w:t>
            </w:r>
          </w:p>
        </w:tc>
      </w:tr>
    </w:tbl>
    <w:p/>
    <w:p>
      <w:r>
        <w:br w:type="page"/>
      </w:r>
    </w:p>
    <w:p>
      <w:pPr>
        <w:spacing w:before="360" w:after="120"/>
      </w:pPr>
      <w:r>
        <w:rPr>
          <w:b/>
          <w:color w:val="1F2D55"/>
          <w:sz w:val="32"/>
        </w:rPr>
        <w:t>Section 4: All 12 Estates -- RSPO/ISPO Status Summary</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tc>
        <w:tc>
          <w:tcPr>
            <w:tcW w:type="dxa" w:w="1520"/>
          </w:tcPr>
          <w:p/>
        </w:tc>
        <w:tc>
          <w:tcPr>
            <w:tcW w:type="dxa" w:w="1520"/>
          </w:tcPr>
          <w:p/>
        </w:tc>
        <w:tc>
          <w:tcPr>
            <w:tcW w:type="dxa" w:w="1520"/>
          </w:tcPr>
          <w:p/>
        </w:tc>
        <w:tc>
          <w:tcPr>
            <w:tcW w:type="dxa" w:w="1520"/>
          </w:tcPr>
          <w:p/>
        </w:tc>
        <w:tc>
          <w:tcPr>
            <w:tcW w:type="dxa" w:w="1520"/>
          </w:tcPr>
          <w:p/>
        </w:tc>
      </w:tr>
      <w:tr>
        <w:tc>
          <w:tcPr>
            <w:tcW w:type="dxa" w:w="1520"/>
            <w:shd w:val="clear" w:color="auto" w:fill="1F2D55"/>
          </w:tcPr>
          <w:p>
            <w:r>
              <w:rPr>
                <w:b/>
                <w:sz w:val="18"/>
              </w:rPr>
              <w:t>Estate</w:t>
            </w:r>
          </w:p>
        </w:tc>
        <w:tc>
          <w:tcPr>
            <w:tcW w:type="dxa" w:w="1520"/>
            <w:shd w:val="clear" w:color="auto" w:fill="1F2D55"/>
          </w:tcPr>
          <w:p>
            <w:r>
              <w:rPr>
                <w:b/>
                <w:sz w:val="18"/>
              </w:rPr>
              <w:t>Country</w:t>
            </w:r>
          </w:p>
        </w:tc>
        <w:tc>
          <w:tcPr>
            <w:tcW w:type="dxa" w:w="1520"/>
            <w:shd w:val="clear" w:color="auto" w:fill="1F2D55"/>
          </w:tcPr>
          <w:p>
            <w:r>
              <w:rPr>
                <w:b/>
                <w:sz w:val="18"/>
              </w:rPr>
              <w:t>Area (ha)</w:t>
            </w:r>
          </w:p>
        </w:tc>
        <w:tc>
          <w:tcPr>
            <w:tcW w:type="dxa" w:w="1520"/>
            <w:shd w:val="clear" w:color="auto" w:fill="1F2D55"/>
          </w:tcPr>
          <w:p>
            <w:r>
              <w:rPr>
                <w:b/>
                <w:sz w:val="18"/>
              </w:rPr>
              <w:t>Certification</w:t>
            </w:r>
          </w:p>
        </w:tc>
        <w:tc>
          <w:tcPr>
            <w:tcW w:type="dxa" w:w="1520"/>
            <w:shd w:val="clear" w:color="auto" w:fill="1F2D55"/>
          </w:tcPr>
          <w:p>
            <w:r>
              <w:rPr>
                <w:b/>
                <w:sz w:val="18"/>
              </w:rPr>
              <w:t>Current Status</w:t>
            </w:r>
          </w:p>
        </w:tc>
        <w:tc>
          <w:tcPr>
            <w:tcW w:type="dxa" w:w="1520"/>
            <w:shd w:val="clear" w:color="auto" w:fill="1F2D55"/>
          </w:tcPr>
          <w:p>
            <w:r>
              <w:rPr>
                <w:b/>
                <w:sz w:val="18"/>
              </w:rPr>
              <w:t>RSPO/ISPO Target</w:t>
            </w:r>
          </w:p>
        </w:tc>
      </w:tr>
      <w:tr>
        <w:tc>
          <w:tcPr>
            <w:tcW w:type="dxa" w:w="1520"/>
            <w:shd w:val="clear" w:color="auto" w:fill="E8F8EE"/>
          </w:tcPr>
          <w:p>
            <w:r>
              <w:rPr>
                <w:b w:val="0"/>
                <w:sz w:val="18"/>
              </w:rPr>
              <w:t>Ladang Hijau Mas</w:t>
            </w:r>
          </w:p>
        </w:tc>
        <w:tc>
          <w:tcPr>
            <w:tcW w:type="dxa" w:w="1520"/>
            <w:shd w:val="clear" w:color="auto" w:fill="E8F8EE"/>
          </w:tcPr>
          <w:p>
            <w:r>
              <w:rPr>
                <w:b w:val="0"/>
                <w:sz w:val="18"/>
              </w:rPr>
              <w:t>Malaysia</w:t>
            </w:r>
          </w:p>
        </w:tc>
        <w:tc>
          <w:tcPr>
            <w:tcW w:type="dxa" w:w="1520"/>
            <w:shd w:val="clear" w:color="auto" w:fill="E8F8EE"/>
          </w:tcPr>
          <w:p>
            <w:r>
              <w:rPr>
                <w:b w:val="0"/>
                <w:sz w:val="18"/>
              </w:rPr>
              <w:t>8,100</w:t>
            </w:r>
          </w:p>
        </w:tc>
        <w:tc>
          <w:tcPr>
            <w:tcW w:type="dxa" w:w="1520"/>
            <w:shd w:val="clear" w:color="auto" w:fill="E8F8EE"/>
          </w:tcPr>
          <w:p>
            <w:r>
              <w:rPr>
                <w:b w:val="0"/>
                <w:sz w:val="18"/>
              </w:rPr>
              <w:t>RSPO Certified</w:t>
            </w:r>
          </w:p>
        </w:tc>
        <w:tc>
          <w:tcPr>
            <w:tcW w:type="dxa" w:w="1520"/>
            <w:shd w:val="clear" w:color="auto" w:fill="E8F8EE"/>
          </w:tcPr>
          <w:p>
            <w:r>
              <w:rPr>
                <w:b w:val="0"/>
                <w:sz w:val="18"/>
              </w:rPr>
              <w:t>Active -- no major findings</w:t>
            </w:r>
          </w:p>
        </w:tc>
        <w:tc>
          <w:tcPr>
            <w:tcW w:type="dxa" w:w="1520"/>
            <w:shd w:val="clear" w:color="auto" w:fill="E8F8EE"/>
          </w:tcPr>
          <w:p>
            <w:r>
              <w:rPr>
                <w:b w:val="0"/>
                <w:sz w:val="18"/>
              </w:rPr>
              <w:t>Annual surveillance Q4 FY2025</w:t>
            </w:r>
          </w:p>
        </w:tc>
      </w:tr>
      <w:tr>
        <w:tc>
          <w:tcPr>
            <w:tcW w:type="dxa" w:w="1520"/>
            <w:shd w:val="clear" w:color="auto" w:fill="E8F8EE"/>
          </w:tcPr>
          <w:p>
            <w:r>
              <w:rPr>
                <w:b w:val="0"/>
                <w:sz w:val="18"/>
              </w:rPr>
              <w:t>Ladang Sri Murni</w:t>
            </w:r>
          </w:p>
        </w:tc>
        <w:tc>
          <w:tcPr>
            <w:tcW w:type="dxa" w:w="1520"/>
            <w:shd w:val="clear" w:color="auto" w:fill="E8F8EE"/>
          </w:tcPr>
          <w:p>
            <w:r>
              <w:rPr>
                <w:b w:val="0"/>
                <w:sz w:val="18"/>
              </w:rPr>
              <w:t>Malaysia</w:t>
            </w:r>
          </w:p>
        </w:tc>
        <w:tc>
          <w:tcPr>
            <w:tcW w:type="dxa" w:w="1520"/>
            <w:shd w:val="clear" w:color="auto" w:fill="E8F8EE"/>
          </w:tcPr>
          <w:p>
            <w:r>
              <w:rPr>
                <w:b w:val="0"/>
                <w:sz w:val="18"/>
              </w:rPr>
              <w:t>6,850</w:t>
            </w:r>
          </w:p>
        </w:tc>
        <w:tc>
          <w:tcPr>
            <w:tcW w:type="dxa" w:w="1520"/>
            <w:shd w:val="clear" w:color="auto" w:fill="E8F8EE"/>
          </w:tcPr>
          <w:p>
            <w:r>
              <w:rPr>
                <w:b w:val="0"/>
                <w:sz w:val="18"/>
              </w:rPr>
              <w:t>RSPO Certified</w:t>
            </w:r>
          </w:p>
        </w:tc>
        <w:tc>
          <w:tcPr>
            <w:tcW w:type="dxa" w:w="1520"/>
            <w:shd w:val="clear" w:color="auto" w:fill="E8F8EE"/>
          </w:tcPr>
          <w:p>
            <w:r>
              <w:rPr>
                <w:b w:val="0"/>
                <w:sz w:val="18"/>
              </w:rPr>
              <w:t>Active -- minor NCs on replanting plan</w:t>
            </w:r>
          </w:p>
        </w:tc>
        <w:tc>
          <w:tcPr>
            <w:tcW w:type="dxa" w:w="1520"/>
            <w:shd w:val="clear" w:color="auto" w:fill="E8F8EE"/>
          </w:tcPr>
          <w:p>
            <w:r>
              <w:rPr>
                <w:b w:val="0"/>
                <w:sz w:val="18"/>
              </w:rPr>
              <w:t>Partial replanting to complete FY2025</w:t>
            </w:r>
          </w:p>
        </w:tc>
      </w:tr>
      <w:tr>
        <w:tc>
          <w:tcPr>
            <w:tcW w:type="dxa" w:w="1520"/>
            <w:shd w:val="clear" w:color="auto" w:fill="E8F8EE"/>
          </w:tcPr>
          <w:p>
            <w:r>
              <w:rPr>
                <w:b w:val="0"/>
                <w:sz w:val="18"/>
              </w:rPr>
              <w:t>Ladang Bukit Zava</w:t>
            </w:r>
          </w:p>
        </w:tc>
        <w:tc>
          <w:tcPr>
            <w:tcW w:type="dxa" w:w="1520"/>
            <w:shd w:val="clear" w:color="auto" w:fill="E8F8EE"/>
          </w:tcPr>
          <w:p>
            <w:r>
              <w:rPr>
                <w:b w:val="0"/>
                <w:sz w:val="18"/>
              </w:rPr>
              <w:t>Malaysia</w:t>
            </w:r>
          </w:p>
        </w:tc>
        <w:tc>
          <w:tcPr>
            <w:tcW w:type="dxa" w:w="1520"/>
            <w:shd w:val="clear" w:color="auto" w:fill="E8F8EE"/>
          </w:tcPr>
          <w:p>
            <w:r>
              <w:rPr>
                <w:b w:val="0"/>
                <w:sz w:val="18"/>
              </w:rPr>
              <w:t>4,350</w:t>
            </w:r>
          </w:p>
        </w:tc>
        <w:tc>
          <w:tcPr>
            <w:tcW w:type="dxa" w:w="1520"/>
            <w:shd w:val="clear" w:color="auto" w:fill="E8F8EE"/>
          </w:tcPr>
          <w:p>
            <w:r>
              <w:rPr>
                <w:b w:val="0"/>
                <w:sz w:val="18"/>
              </w:rPr>
              <w:t>MSPO Certified</w:t>
            </w:r>
          </w:p>
        </w:tc>
        <w:tc>
          <w:tcPr>
            <w:tcW w:type="dxa" w:w="1520"/>
            <w:shd w:val="clear" w:color="auto" w:fill="E8F8EE"/>
          </w:tcPr>
          <w:p>
            <w:r>
              <w:rPr>
                <w:b w:val="0"/>
                <w:sz w:val="18"/>
              </w:rPr>
              <w:t>Upgrade audit scheduled Q4 FY2025</w:t>
            </w:r>
          </w:p>
        </w:tc>
        <w:tc>
          <w:tcPr>
            <w:tcW w:type="dxa" w:w="1520"/>
            <w:shd w:val="clear" w:color="auto" w:fill="E8F8EE"/>
          </w:tcPr>
          <w:p>
            <w:r>
              <w:rPr>
                <w:b w:val="0"/>
                <w:sz w:val="18"/>
              </w:rPr>
              <w:t>RSPO certification target Q1 FY2026</w:t>
            </w:r>
          </w:p>
        </w:tc>
      </w:tr>
      <w:tr>
        <w:tc>
          <w:tcPr>
            <w:tcW w:type="dxa" w:w="1520"/>
            <w:shd w:val="clear" w:color="auto" w:fill="E8F8EE"/>
          </w:tcPr>
          <w:p>
            <w:r>
              <w:rPr>
                <w:b w:val="0"/>
                <w:sz w:val="18"/>
              </w:rPr>
              <w:t>Ladang Parit Baru</w:t>
            </w:r>
          </w:p>
        </w:tc>
        <w:tc>
          <w:tcPr>
            <w:tcW w:type="dxa" w:w="1520"/>
            <w:shd w:val="clear" w:color="auto" w:fill="E8F8EE"/>
          </w:tcPr>
          <w:p>
            <w:r>
              <w:rPr>
                <w:b w:val="0"/>
                <w:sz w:val="18"/>
              </w:rPr>
              <w:t>Malaysia</w:t>
            </w:r>
          </w:p>
        </w:tc>
        <w:tc>
          <w:tcPr>
            <w:tcW w:type="dxa" w:w="1520"/>
            <w:shd w:val="clear" w:color="auto" w:fill="E8F8EE"/>
          </w:tcPr>
          <w:p>
            <w:r>
              <w:rPr>
                <w:b w:val="0"/>
                <w:sz w:val="18"/>
              </w:rPr>
              <w:t>3,900</w:t>
            </w:r>
          </w:p>
        </w:tc>
        <w:tc>
          <w:tcPr>
            <w:tcW w:type="dxa" w:w="1520"/>
            <w:shd w:val="clear" w:color="auto" w:fill="E8F8EE"/>
          </w:tcPr>
          <w:p>
            <w:r>
              <w:rPr>
                <w:b w:val="0"/>
                <w:sz w:val="18"/>
              </w:rPr>
              <w:t>RSPO Certified</w:t>
            </w:r>
          </w:p>
        </w:tc>
        <w:tc>
          <w:tcPr>
            <w:tcW w:type="dxa" w:w="1520"/>
            <w:shd w:val="clear" w:color="auto" w:fill="E8F8EE"/>
          </w:tcPr>
          <w:p>
            <w:r>
              <w:rPr>
                <w:b w:val="0"/>
                <w:sz w:val="18"/>
              </w:rPr>
              <w:t>Active -- clean audit FY2024</w:t>
            </w:r>
          </w:p>
        </w:tc>
        <w:tc>
          <w:tcPr>
            <w:tcW w:type="dxa" w:w="1520"/>
            <w:shd w:val="clear" w:color="auto" w:fill="E8F8EE"/>
          </w:tcPr>
          <w:p>
            <w:r>
              <w:rPr>
                <w:b w:val="0"/>
                <w:sz w:val="18"/>
              </w:rPr>
              <w:t>Annual surveillance Q2 FY2025</w:t>
            </w:r>
          </w:p>
        </w:tc>
      </w:tr>
      <w:tr>
        <w:tc>
          <w:tcPr>
            <w:tcW w:type="dxa" w:w="1520"/>
            <w:shd w:val="clear" w:color="auto" w:fill="FFFDE0"/>
          </w:tcPr>
          <w:p>
            <w:r>
              <w:rPr>
                <w:b w:val="0"/>
                <w:sz w:val="18"/>
              </w:rPr>
              <w:t>Ladang Rimba Permai</w:t>
            </w:r>
          </w:p>
        </w:tc>
        <w:tc>
          <w:tcPr>
            <w:tcW w:type="dxa" w:w="1520"/>
            <w:shd w:val="clear" w:color="auto" w:fill="FFFDE0"/>
          </w:tcPr>
          <w:p>
            <w:r>
              <w:rPr>
                <w:b w:val="0"/>
                <w:sz w:val="18"/>
              </w:rPr>
              <w:t>Malaysia</w:t>
            </w:r>
          </w:p>
        </w:tc>
        <w:tc>
          <w:tcPr>
            <w:tcW w:type="dxa" w:w="1520"/>
            <w:shd w:val="clear" w:color="auto" w:fill="FFFDE0"/>
          </w:tcPr>
          <w:p>
            <w:r>
              <w:rPr>
                <w:b w:val="0"/>
                <w:sz w:val="18"/>
              </w:rPr>
              <w:t>3,800</w:t>
            </w:r>
          </w:p>
        </w:tc>
        <w:tc>
          <w:tcPr>
            <w:tcW w:type="dxa" w:w="1520"/>
            <w:shd w:val="clear" w:color="auto" w:fill="FFFDE0"/>
          </w:tcPr>
          <w:p>
            <w:r>
              <w:rPr>
                <w:b w:val="0"/>
                <w:sz w:val="18"/>
              </w:rPr>
              <w:t>MSPO Certified</w:t>
            </w:r>
          </w:p>
        </w:tc>
        <w:tc>
          <w:tcPr>
            <w:tcW w:type="dxa" w:w="1520"/>
            <w:shd w:val="clear" w:color="auto" w:fill="FFFDE0"/>
          </w:tcPr>
          <w:p>
            <w:r>
              <w:rPr>
                <w:b w:val="0"/>
                <w:sz w:val="18"/>
              </w:rPr>
              <w:t>Active -- replanting in progress</w:t>
            </w:r>
          </w:p>
        </w:tc>
        <w:tc>
          <w:tcPr>
            <w:tcW w:type="dxa" w:w="1520"/>
            <w:shd w:val="clear" w:color="auto" w:fill="FFFDE0"/>
          </w:tcPr>
          <w:p>
            <w:r>
              <w:rPr>
                <w:b w:val="0"/>
                <w:sz w:val="18"/>
              </w:rPr>
              <w:t>RSPO upgrade FY2026</w:t>
            </w:r>
          </w:p>
        </w:tc>
      </w:tr>
      <w:tr>
        <w:tc>
          <w:tcPr>
            <w:tcW w:type="dxa" w:w="1520"/>
            <w:shd w:val="clear" w:color="auto" w:fill="E8F8EE"/>
          </w:tcPr>
          <w:p>
            <w:r>
              <w:rPr>
                <w:b w:val="0"/>
                <w:sz w:val="18"/>
              </w:rPr>
              <w:t>Ladang Maju Jaya</w:t>
            </w:r>
          </w:p>
        </w:tc>
        <w:tc>
          <w:tcPr>
            <w:tcW w:type="dxa" w:w="1520"/>
            <w:shd w:val="clear" w:color="auto" w:fill="E8F8EE"/>
          </w:tcPr>
          <w:p>
            <w:r>
              <w:rPr>
                <w:b w:val="0"/>
                <w:sz w:val="18"/>
              </w:rPr>
              <w:t>Malaysia</w:t>
            </w:r>
          </w:p>
        </w:tc>
        <w:tc>
          <w:tcPr>
            <w:tcW w:type="dxa" w:w="1520"/>
            <w:shd w:val="clear" w:color="auto" w:fill="E8F8EE"/>
          </w:tcPr>
          <w:p>
            <w:r>
              <w:rPr>
                <w:b w:val="0"/>
                <w:sz w:val="18"/>
              </w:rPr>
              <w:t>2,800</w:t>
            </w:r>
          </w:p>
        </w:tc>
        <w:tc>
          <w:tcPr>
            <w:tcW w:type="dxa" w:w="1520"/>
            <w:shd w:val="clear" w:color="auto" w:fill="E8F8EE"/>
          </w:tcPr>
          <w:p>
            <w:r>
              <w:rPr>
                <w:b w:val="0"/>
                <w:sz w:val="18"/>
              </w:rPr>
              <w:t>RSPO Certified</w:t>
            </w:r>
          </w:p>
        </w:tc>
        <w:tc>
          <w:tcPr>
            <w:tcW w:type="dxa" w:w="1520"/>
            <w:shd w:val="clear" w:color="auto" w:fill="E8F8EE"/>
          </w:tcPr>
          <w:p>
            <w:r>
              <w:rPr>
                <w:b w:val="0"/>
                <w:sz w:val="18"/>
              </w:rPr>
              <w:t>Active -- minor NCs closed</w:t>
            </w:r>
          </w:p>
        </w:tc>
        <w:tc>
          <w:tcPr>
            <w:tcW w:type="dxa" w:w="1520"/>
            <w:shd w:val="clear" w:color="auto" w:fill="E8F8EE"/>
          </w:tcPr>
          <w:p>
            <w:r>
              <w:rPr>
                <w:b w:val="0"/>
                <w:sz w:val="18"/>
              </w:rPr>
              <w:t>Annual surveillance Q3 FY2025</w:t>
            </w:r>
          </w:p>
        </w:tc>
      </w:tr>
      <w:tr>
        <w:tc>
          <w:tcPr>
            <w:tcW w:type="dxa" w:w="1520"/>
            <w:shd w:val="clear" w:color="auto" w:fill="E8F8EE"/>
          </w:tcPr>
          <w:p>
            <w:r>
              <w:rPr>
                <w:b w:val="0"/>
                <w:sz w:val="18"/>
              </w:rPr>
              <w:t>Ladang Tembaga Biru</w:t>
            </w:r>
          </w:p>
        </w:tc>
        <w:tc>
          <w:tcPr>
            <w:tcW w:type="dxa" w:w="1520"/>
            <w:shd w:val="clear" w:color="auto" w:fill="E8F8EE"/>
          </w:tcPr>
          <w:p>
            <w:r>
              <w:rPr>
                <w:b w:val="0"/>
                <w:sz w:val="18"/>
              </w:rPr>
              <w:t>Malaysia</w:t>
            </w:r>
          </w:p>
        </w:tc>
        <w:tc>
          <w:tcPr>
            <w:tcW w:type="dxa" w:w="1520"/>
            <w:shd w:val="clear" w:color="auto" w:fill="E8F8EE"/>
          </w:tcPr>
          <w:p>
            <w:r>
              <w:rPr>
                <w:b w:val="0"/>
                <w:sz w:val="18"/>
              </w:rPr>
              <w:t>1,800</w:t>
            </w:r>
          </w:p>
        </w:tc>
        <w:tc>
          <w:tcPr>
            <w:tcW w:type="dxa" w:w="1520"/>
            <w:shd w:val="clear" w:color="auto" w:fill="E8F8EE"/>
          </w:tcPr>
          <w:p>
            <w:r>
              <w:rPr>
                <w:b w:val="0"/>
                <w:sz w:val="18"/>
              </w:rPr>
              <w:t>RSPO Certified</w:t>
            </w:r>
          </w:p>
        </w:tc>
        <w:tc>
          <w:tcPr>
            <w:tcW w:type="dxa" w:w="1520"/>
            <w:shd w:val="clear" w:color="auto" w:fill="E8F8EE"/>
          </w:tcPr>
          <w:p>
            <w:r>
              <w:rPr>
                <w:b w:val="0"/>
                <w:sz w:val="18"/>
              </w:rPr>
              <w:t>Active -- clean audit FY2024</w:t>
            </w:r>
          </w:p>
        </w:tc>
        <w:tc>
          <w:tcPr>
            <w:tcW w:type="dxa" w:w="1520"/>
            <w:shd w:val="clear" w:color="auto" w:fill="E8F8EE"/>
          </w:tcPr>
          <w:p>
            <w:r>
              <w:rPr>
                <w:b w:val="0"/>
                <w:sz w:val="18"/>
              </w:rPr>
              <w:t>Annual surveillance Q1 FY2026</w:t>
            </w:r>
          </w:p>
        </w:tc>
      </w:tr>
      <w:tr>
        <w:tc>
          <w:tcPr>
            <w:tcW w:type="dxa" w:w="1520"/>
            <w:shd w:val="clear" w:color="auto" w:fill="FFE0E0"/>
          </w:tcPr>
          <w:p>
            <w:r>
              <w:rPr>
                <w:b w:val="0"/>
                <w:sz w:val="18"/>
              </w:rPr>
              <w:t>Perkebunan Lestari</w:t>
            </w:r>
          </w:p>
        </w:tc>
        <w:tc>
          <w:tcPr>
            <w:tcW w:type="dxa" w:w="1520"/>
            <w:shd w:val="clear" w:color="auto" w:fill="FFE0E0"/>
          </w:tcPr>
          <w:p>
            <w:r>
              <w:rPr>
                <w:b w:val="0"/>
                <w:sz w:val="18"/>
              </w:rPr>
              <w:t>Indonesia</w:t>
            </w:r>
          </w:p>
        </w:tc>
        <w:tc>
          <w:tcPr>
            <w:tcW w:type="dxa" w:w="1520"/>
            <w:shd w:val="clear" w:color="auto" w:fill="FFE0E0"/>
          </w:tcPr>
          <w:p>
            <w:r>
              <w:rPr>
                <w:b w:val="0"/>
                <w:sz w:val="18"/>
              </w:rPr>
              <w:t>9,400</w:t>
            </w:r>
          </w:p>
        </w:tc>
        <w:tc>
          <w:tcPr>
            <w:tcW w:type="dxa" w:w="1520"/>
            <w:shd w:val="clear" w:color="auto" w:fill="FFE0E0"/>
          </w:tcPr>
          <w:p>
            <w:r>
              <w:rPr>
                <w:b w:val="0"/>
                <w:sz w:val="18"/>
              </w:rPr>
              <w:t>RSPO SUSPENDED</w:t>
            </w:r>
          </w:p>
        </w:tc>
        <w:tc>
          <w:tcPr>
            <w:tcW w:type="dxa" w:w="1520"/>
            <w:shd w:val="clear" w:color="auto" w:fill="FFE0E0"/>
          </w:tcPr>
          <w:p>
            <w:r>
              <w:rPr>
                <w:b w:val="0"/>
                <w:sz w:val="18"/>
              </w:rPr>
              <w:t>4 MNCs, 1 closed; 3 open</w:t>
            </w:r>
          </w:p>
        </w:tc>
        <w:tc>
          <w:tcPr>
            <w:tcW w:type="dxa" w:w="1520"/>
            <w:shd w:val="clear" w:color="auto" w:fill="FFE0E0"/>
          </w:tcPr>
          <w:p>
            <w:r>
              <w:rPr>
                <w:b w:val="0"/>
                <w:sz w:val="18"/>
              </w:rPr>
              <w:t>Restoration target Q4 FY2025</w:t>
            </w:r>
          </w:p>
        </w:tc>
      </w:tr>
      <w:tr>
        <w:tc>
          <w:tcPr>
            <w:tcW w:type="dxa" w:w="1520"/>
            <w:shd w:val="clear" w:color="auto" w:fill="E8F8EE"/>
          </w:tcPr>
          <w:p>
            <w:r>
              <w:rPr>
                <w:b w:val="0"/>
                <w:sz w:val="18"/>
              </w:rPr>
              <w:t>Perkebunan Nusantara Zava</w:t>
            </w:r>
          </w:p>
        </w:tc>
        <w:tc>
          <w:tcPr>
            <w:tcW w:type="dxa" w:w="1520"/>
            <w:shd w:val="clear" w:color="auto" w:fill="E8F8EE"/>
          </w:tcPr>
          <w:p>
            <w:r>
              <w:rPr>
                <w:b w:val="0"/>
                <w:sz w:val="18"/>
              </w:rPr>
              <w:t>Indonesia</w:t>
            </w:r>
          </w:p>
        </w:tc>
        <w:tc>
          <w:tcPr>
            <w:tcW w:type="dxa" w:w="1520"/>
            <w:shd w:val="clear" w:color="auto" w:fill="E8F8EE"/>
          </w:tcPr>
          <w:p>
            <w:r>
              <w:rPr>
                <w:b w:val="0"/>
                <w:sz w:val="18"/>
              </w:rPr>
              <w:t>9,000</w:t>
            </w:r>
          </w:p>
        </w:tc>
        <w:tc>
          <w:tcPr>
            <w:tcW w:type="dxa" w:w="1520"/>
            <w:shd w:val="clear" w:color="auto" w:fill="E8F8EE"/>
          </w:tcPr>
          <w:p>
            <w:r>
              <w:rPr>
                <w:b w:val="0"/>
                <w:sz w:val="18"/>
              </w:rPr>
              <w:t>ISPO Certified</w:t>
            </w:r>
          </w:p>
        </w:tc>
        <w:tc>
          <w:tcPr>
            <w:tcW w:type="dxa" w:w="1520"/>
            <w:shd w:val="clear" w:color="auto" w:fill="E8F8EE"/>
          </w:tcPr>
          <w:p>
            <w:r>
              <w:rPr>
                <w:b w:val="0"/>
                <w:sz w:val="18"/>
              </w:rPr>
              <w:t>RSPO pre-audit scheduled Apr 2025</w:t>
            </w:r>
          </w:p>
        </w:tc>
        <w:tc>
          <w:tcPr>
            <w:tcW w:type="dxa" w:w="1520"/>
            <w:shd w:val="clear" w:color="auto" w:fill="E8F8EE"/>
          </w:tcPr>
          <w:p>
            <w:r>
              <w:rPr>
                <w:b w:val="0"/>
                <w:sz w:val="18"/>
              </w:rPr>
              <w:t>RSPO certification target Q3 FY2025</w:t>
            </w:r>
          </w:p>
        </w:tc>
      </w:tr>
      <w:tr>
        <w:tc>
          <w:tcPr>
            <w:tcW w:type="dxa" w:w="1520"/>
            <w:shd w:val="clear" w:color="auto" w:fill="FFFDE0"/>
          </w:tcPr>
          <w:p>
            <w:r>
              <w:rPr>
                <w:b w:val="0"/>
                <w:sz w:val="18"/>
              </w:rPr>
              <w:t>PT Zava Agro Sumatra</w:t>
            </w:r>
          </w:p>
        </w:tc>
        <w:tc>
          <w:tcPr>
            <w:tcW w:type="dxa" w:w="1520"/>
            <w:shd w:val="clear" w:color="auto" w:fill="FFFDE0"/>
          </w:tcPr>
          <w:p>
            <w:r>
              <w:rPr>
                <w:b w:val="0"/>
                <w:sz w:val="18"/>
              </w:rPr>
              <w:t>Indonesia</w:t>
            </w:r>
          </w:p>
        </w:tc>
        <w:tc>
          <w:tcPr>
            <w:tcW w:type="dxa" w:w="1520"/>
            <w:shd w:val="clear" w:color="auto" w:fill="FFFDE0"/>
          </w:tcPr>
          <w:p>
            <w:r>
              <w:rPr>
                <w:b w:val="0"/>
                <w:sz w:val="18"/>
              </w:rPr>
              <w:t>7,300</w:t>
            </w:r>
          </w:p>
        </w:tc>
        <w:tc>
          <w:tcPr>
            <w:tcW w:type="dxa" w:w="1520"/>
            <w:shd w:val="clear" w:color="auto" w:fill="FFFDE0"/>
          </w:tcPr>
          <w:p>
            <w:r>
              <w:rPr>
                <w:b w:val="0"/>
                <w:sz w:val="18"/>
              </w:rPr>
              <w:t>ISPO + RSPO progress</w:t>
            </w:r>
          </w:p>
        </w:tc>
        <w:tc>
          <w:tcPr>
            <w:tcW w:type="dxa" w:w="1520"/>
            <w:shd w:val="clear" w:color="auto" w:fill="FFFDE0"/>
          </w:tcPr>
          <w:p>
            <w:r>
              <w:rPr>
                <w:b w:val="0"/>
                <w:sz w:val="18"/>
              </w:rPr>
              <w:t>RSPO Stage 2 audit scheduled Jun 2025</w:t>
            </w:r>
          </w:p>
        </w:tc>
        <w:tc>
          <w:tcPr>
            <w:tcW w:type="dxa" w:w="1520"/>
            <w:shd w:val="clear" w:color="auto" w:fill="FFFDE0"/>
          </w:tcPr>
          <w:p>
            <w:r>
              <w:rPr>
                <w:b w:val="0"/>
                <w:sz w:val="18"/>
              </w:rPr>
              <w:t>RSPO certification target Q4 FY2025</w:t>
            </w:r>
          </w:p>
        </w:tc>
      </w:tr>
      <w:tr>
        <w:tc>
          <w:tcPr>
            <w:tcW w:type="dxa" w:w="1520"/>
            <w:shd w:val="clear" w:color="auto" w:fill="FFFDE0"/>
          </w:tcPr>
          <w:p>
            <w:r>
              <w:rPr>
                <w:b w:val="0"/>
                <w:sz w:val="18"/>
              </w:rPr>
              <w:t>PT Sawit Indah</w:t>
            </w:r>
          </w:p>
        </w:tc>
        <w:tc>
          <w:tcPr>
            <w:tcW w:type="dxa" w:w="1520"/>
            <w:shd w:val="clear" w:color="auto" w:fill="FFFDE0"/>
          </w:tcPr>
          <w:p>
            <w:r>
              <w:rPr>
                <w:b w:val="0"/>
                <w:sz w:val="18"/>
              </w:rPr>
              <w:t>Indonesia</w:t>
            </w:r>
          </w:p>
        </w:tc>
        <w:tc>
          <w:tcPr>
            <w:tcW w:type="dxa" w:w="1520"/>
            <w:shd w:val="clear" w:color="auto" w:fill="FFFDE0"/>
          </w:tcPr>
          <w:p>
            <w:r>
              <w:rPr>
                <w:b w:val="0"/>
                <w:sz w:val="18"/>
              </w:rPr>
              <w:t>5,200</w:t>
            </w:r>
          </w:p>
        </w:tc>
        <w:tc>
          <w:tcPr>
            <w:tcW w:type="dxa" w:w="1520"/>
            <w:shd w:val="clear" w:color="auto" w:fill="FFFDE0"/>
          </w:tcPr>
          <w:p>
            <w:r>
              <w:rPr>
                <w:b w:val="0"/>
                <w:sz w:val="18"/>
              </w:rPr>
              <w:t>ISPO Certified</w:t>
            </w:r>
          </w:p>
        </w:tc>
        <w:tc>
          <w:tcPr>
            <w:tcW w:type="dxa" w:w="1520"/>
            <w:shd w:val="clear" w:color="auto" w:fill="FFFDE0"/>
          </w:tcPr>
          <w:p>
            <w:r>
              <w:rPr>
                <w:b w:val="0"/>
                <w:sz w:val="18"/>
              </w:rPr>
              <w:t>Stable -- minor EUDR mapping gap</w:t>
            </w:r>
          </w:p>
        </w:tc>
        <w:tc>
          <w:tcPr>
            <w:tcW w:type="dxa" w:w="1520"/>
            <w:shd w:val="clear" w:color="auto" w:fill="FFFDE0"/>
          </w:tcPr>
          <w:p>
            <w:r>
              <w:rPr>
                <w:b w:val="0"/>
                <w:sz w:val="18"/>
              </w:rPr>
              <w:t>RSPO upgrade FY2026</w:t>
            </w:r>
          </w:p>
        </w:tc>
      </w:tr>
      <w:tr>
        <w:tc>
          <w:tcPr>
            <w:tcW w:type="dxa" w:w="1520"/>
            <w:shd w:val="clear" w:color="auto" w:fill="FFFDE0"/>
          </w:tcPr>
          <w:p>
            <w:r>
              <w:rPr>
                <w:b w:val="0"/>
                <w:sz w:val="18"/>
              </w:rPr>
              <w:t>PT Permai Borneo</w:t>
            </w:r>
          </w:p>
        </w:tc>
        <w:tc>
          <w:tcPr>
            <w:tcW w:type="dxa" w:w="1520"/>
            <w:shd w:val="clear" w:color="auto" w:fill="FFFDE0"/>
          </w:tcPr>
          <w:p>
            <w:r>
              <w:rPr>
                <w:b w:val="0"/>
                <w:sz w:val="18"/>
              </w:rPr>
              <w:t>Indonesia</w:t>
            </w:r>
          </w:p>
        </w:tc>
        <w:tc>
          <w:tcPr>
            <w:tcW w:type="dxa" w:w="1520"/>
            <w:shd w:val="clear" w:color="auto" w:fill="FFFDE0"/>
          </w:tcPr>
          <w:p>
            <w:r>
              <w:rPr>
                <w:b w:val="0"/>
                <w:sz w:val="18"/>
              </w:rPr>
              <w:t>4,400</w:t>
            </w:r>
          </w:p>
        </w:tc>
        <w:tc>
          <w:tcPr>
            <w:tcW w:type="dxa" w:w="1520"/>
            <w:shd w:val="clear" w:color="auto" w:fill="FFFDE0"/>
          </w:tcPr>
          <w:p>
            <w:r>
              <w:rPr>
                <w:b w:val="0"/>
                <w:sz w:val="18"/>
              </w:rPr>
              <w:t>ISPO Certified</w:t>
            </w:r>
          </w:p>
        </w:tc>
        <w:tc>
          <w:tcPr>
            <w:tcW w:type="dxa" w:w="1520"/>
            <w:shd w:val="clear" w:color="auto" w:fill="FFFDE0"/>
          </w:tcPr>
          <w:p>
            <w:r>
              <w:rPr>
                <w:b w:val="0"/>
                <w:sz w:val="18"/>
              </w:rPr>
              <w:t>Stable</w:t>
            </w:r>
          </w:p>
        </w:tc>
        <w:tc>
          <w:tcPr>
            <w:tcW w:type="dxa" w:w="1520"/>
            <w:shd w:val="clear" w:color="auto" w:fill="FFFDE0"/>
          </w:tcPr>
          <w:p>
            <w:r>
              <w:rPr>
                <w:b w:val="0"/>
                <w:sz w:val="18"/>
              </w:rPr>
              <w:t>RSPO upgrade FY2026</w:t>
            </w:r>
          </w:p>
        </w:tc>
      </w:tr>
    </w:tbl>
    <w:p/>
    <w:p>
      <w:pPr>
        <w:spacing w:before="360" w:after="120"/>
      </w:pPr>
      <w:r>
        <w:rPr>
          <w:b/>
          <w:color w:val="1F2D55"/>
          <w:sz w:val="32"/>
        </w:rPr>
        <w:t>Section 5: EUDR Gap Analysis</w:t>
      </w:r>
    </w:p>
    <w:p>
      <w:pPr>
        <w:spacing w:after="100"/>
      </w:pPr>
      <w:r>
        <w:rPr>
          <w:color w:val="1A1A2E"/>
          <w:sz w:val="21"/>
        </w:rPr>
        <w:t>The EU Deforestation Regulation (EUDR) effective 30 December 2025 requires all palm oil entering the EU market to be proven deforestation-free with GPS plot-level evidence. Zava Group exports approximately MYR 420M of palm oil products to EU markets annually.</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tc>
        <w:tc>
          <w:tcPr>
            <w:tcW w:type="dxa" w:w="2280"/>
          </w:tcPr>
          <w:p/>
        </w:tc>
        <w:tc>
          <w:tcPr>
            <w:tcW w:type="dxa" w:w="2280"/>
          </w:tcPr>
          <w:p/>
        </w:tc>
        <w:tc>
          <w:tcPr>
            <w:tcW w:type="dxa" w:w="2280"/>
          </w:tcPr>
          <w:p/>
        </w:tc>
      </w:tr>
      <w:tr>
        <w:tc>
          <w:tcPr>
            <w:tcW w:type="dxa" w:w="2280"/>
            <w:shd w:val="clear" w:color="auto" w:fill="1F2D55"/>
          </w:tcPr>
          <w:p>
            <w:r>
              <w:rPr>
                <w:b/>
                <w:sz w:val="18"/>
              </w:rPr>
              <w:t>EUDR Requirement</w:t>
            </w:r>
          </w:p>
        </w:tc>
        <w:tc>
          <w:tcPr>
            <w:tcW w:type="dxa" w:w="2280"/>
            <w:shd w:val="clear" w:color="auto" w:fill="1F2D55"/>
          </w:tcPr>
          <w:p>
            <w:r>
              <w:rPr>
                <w:b/>
                <w:sz w:val="18"/>
              </w:rPr>
              <w:t>Zava Status (Apr 2025)</w:t>
            </w:r>
          </w:p>
        </w:tc>
        <w:tc>
          <w:tcPr>
            <w:tcW w:type="dxa" w:w="2280"/>
            <w:shd w:val="clear" w:color="auto" w:fill="1F2D55"/>
          </w:tcPr>
          <w:p>
            <w:r>
              <w:rPr>
                <w:b/>
                <w:sz w:val="18"/>
              </w:rPr>
              <w:t>Gap</w:t>
            </w:r>
          </w:p>
        </w:tc>
        <w:tc>
          <w:tcPr>
            <w:tcW w:type="dxa" w:w="2280"/>
            <w:shd w:val="clear" w:color="auto" w:fill="1F2D55"/>
          </w:tcPr>
          <w:p>
            <w:r>
              <w:rPr>
                <w:b/>
                <w:sz w:val="18"/>
              </w:rPr>
              <w:t>Action Required</w:t>
            </w:r>
          </w:p>
        </w:tc>
      </w:tr>
      <w:tr>
        <w:tc>
          <w:tcPr>
            <w:tcW w:type="dxa" w:w="2280"/>
          </w:tcPr>
          <w:p>
            <w:r>
              <w:rPr>
                <w:b w:val="0"/>
                <w:sz w:val="18"/>
              </w:rPr>
              <w:t>GPS geolocation for all operator plots</w:t>
            </w:r>
          </w:p>
        </w:tc>
        <w:tc>
          <w:tcPr>
            <w:tcW w:type="dxa" w:w="2280"/>
          </w:tcPr>
          <w:p>
            <w:r>
              <w:rPr>
                <w:b w:val="0"/>
                <w:sz w:val="18"/>
              </w:rPr>
              <w:t>7 MY estates: COMPLETE. 5 ID estates: IN PROGRESS (40%)</w:t>
            </w:r>
          </w:p>
        </w:tc>
        <w:tc>
          <w:tcPr>
            <w:tcW w:type="dxa" w:w="2280"/>
          </w:tcPr>
          <w:p>
            <w:r>
              <w:rPr>
                <w:b w:val="0"/>
                <w:sz w:val="18"/>
              </w:rPr>
              <w:t>2 ID estates not started</w:t>
            </w:r>
          </w:p>
        </w:tc>
        <w:tc>
          <w:tcPr>
            <w:tcW w:type="dxa" w:w="2280"/>
          </w:tcPr>
          <w:p>
            <w:r>
              <w:rPr>
                <w:b w:val="0"/>
                <w:sz w:val="18"/>
              </w:rPr>
              <w:t>Complete GPS survey PT Sawit Indah + PT Permai Borneo by Q3 FY2025</w:t>
            </w:r>
          </w:p>
        </w:tc>
      </w:tr>
      <w:tr>
        <w:tc>
          <w:tcPr>
            <w:tcW w:type="dxa" w:w="2280"/>
          </w:tcPr>
          <w:p>
            <w:r>
              <w:rPr>
                <w:b w:val="0"/>
                <w:sz w:val="18"/>
              </w:rPr>
              <w:t>Deforestation-free verification</w:t>
            </w:r>
          </w:p>
        </w:tc>
        <w:tc>
          <w:tcPr>
            <w:tcW w:type="dxa" w:w="2280"/>
          </w:tcPr>
          <w:p>
            <w:r>
              <w:rPr>
                <w:b w:val="0"/>
                <w:sz w:val="18"/>
              </w:rPr>
              <w:t>MY estates: verified via MSPO/RSPO + Global Forest Watch</w:t>
            </w:r>
          </w:p>
        </w:tc>
        <w:tc>
          <w:tcPr>
            <w:tcW w:type="dxa" w:w="2280"/>
          </w:tcPr>
          <w:p>
            <w:r>
              <w:rPr>
                <w:b w:val="0"/>
                <w:sz w:val="18"/>
              </w:rPr>
              <w:t>ID: Nusantara Zava partial; Lestari MNC-02 open</w:t>
            </w:r>
          </w:p>
        </w:tc>
        <w:tc>
          <w:tcPr>
            <w:tcW w:type="dxa" w:w="2280"/>
          </w:tcPr>
          <w:p>
            <w:r>
              <w:rPr>
                <w:b w:val="0"/>
                <w:sz w:val="18"/>
              </w:rPr>
              <w:t>Complete HCS re-assessment + satellite monitoring contract</w:t>
            </w:r>
          </w:p>
        </w:tc>
      </w:tr>
      <w:tr>
        <w:tc>
          <w:tcPr>
            <w:tcW w:type="dxa" w:w="2280"/>
          </w:tcPr>
          <w:p>
            <w:r>
              <w:rPr>
                <w:b w:val="0"/>
                <w:sz w:val="18"/>
              </w:rPr>
              <w:t>EUDR due diligence statements</w:t>
            </w:r>
          </w:p>
        </w:tc>
        <w:tc>
          <w:tcPr>
            <w:tcW w:type="dxa" w:w="2280"/>
          </w:tcPr>
          <w:p>
            <w:r>
              <w:rPr>
                <w:b w:val="0"/>
                <w:sz w:val="18"/>
              </w:rPr>
              <w:t>MY estates: first submissions prepared for 3 EU customers</w:t>
            </w:r>
          </w:p>
        </w:tc>
        <w:tc>
          <w:tcPr>
            <w:tcW w:type="dxa" w:w="2280"/>
          </w:tcPr>
          <w:p>
            <w:r>
              <w:rPr>
                <w:b w:val="0"/>
                <w:sz w:val="18"/>
              </w:rPr>
              <w:t>ID estates: cannot submit until GPS and deforestation-free confirmed</w:t>
            </w:r>
          </w:p>
        </w:tc>
        <w:tc>
          <w:tcPr>
            <w:tcW w:type="dxa" w:w="2280"/>
          </w:tcPr>
          <w:p>
            <w:r>
              <w:rPr>
                <w:b w:val="0"/>
                <w:sz w:val="18"/>
              </w:rPr>
              <w:t>Batch submissions by Q4 FY2025</w:t>
            </w:r>
          </w:p>
        </w:tc>
      </w:tr>
      <w:tr>
        <w:tc>
          <w:tcPr>
            <w:tcW w:type="dxa" w:w="2280"/>
          </w:tcPr>
          <w:p>
            <w:r>
              <w:rPr>
                <w:b w:val="0"/>
                <w:sz w:val="18"/>
              </w:rPr>
              <w:t>Smallholder mapping (284 plots)</w:t>
            </w:r>
          </w:p>
        </w:tc>
        <w:tc>
          <w:tcPr>
            <w:tcW w:type="dxa" w:w="2280"/>
          </w:tcPr>
          <w:p>
            <w:r>
              <w:rPr>
                <w:b w:val="0"/>
                <w:sz w:val="18"/>
              </w:rPr>
              <w:t>12% mapped (34 of 284 plots)</w:t>
            </w:r>
          </w:p>
        </w:tc>
        <w:tc>
          <w:tcPr>
            <w:tcW w:type="dxa" w:w="2280"/>
          </w:tcPr>
          <w:p>
            <w:r>
              <w:rPr>
                <w:b w:val="0"/>
                <w:sz w:val="18"/>
              </w:rPr>
              <w:t>272 plots unmapped</w:t>
            </w:r>
          </w:p>
        </w:tc>
        <w:tc>
          <w:tcPr>
            <w:tcW w:type="dxa" w:w="2280"/>
          </w:tcPr>
          <w:p>
            <w:r>
              <w:rPr>
                <w:b w:val="0"/>
                <w:sz w:val="18"/>
              </w:rPr>
              <w:t>Engage district agricultural office; GPS field teams deployed Q2 FY2025</w:t>
            </w:r>
          </w:p>
        </w:tc>
      </w:tr>
      <w:tr>
        <w:tc>
          <w:tcPr>
            <w:tcW w:type="dxa" w:w="2280"/>
          </w:tcPr>
          <w:p>
            <w:r>
              <w:rPr>
                <w:b w:val="0"/>
                <w:sz w:val="18"/>
              </w:rPr>
              <w:t>Traceability system</w:t>
            </w:r>
          </w:p>
        </w:tc>
        <w:tc>
          <w:tcPr>
            <w:tcW w:type="dxa" w:w="2280"/>
          </w:tcPr>
          <w:p>
            <w:r>
              <w:rPr>
                <w:b w:val="0"/>
                <w:sz w:val="18"/>
              </w:rPr>
              <w:t>Satellite traceability selected (Satelligence platform)</w:t>
            </w:r>
          </w:p>
        </w:tc>
        <w:tc>
          <w:tcPr>
            <w:tcW w:type="dxa" w:w="2280"/>
          </w:tcPr>
          <w:p>
            <w:r>
              <w:rPr>
                <w:b w:val="0"/>
                <w:sz w:val="18"/>
              </w:rPr>
              <w:t>Platform integration not yet complete</w:t>
            </w:r>
          </w:p>
        </w:tc>
        <w:tc>
          <w:tcPr>
            <w:tcW w:type="dxa" w:w="2280"/>
          </w:tcPr>
          <w:p>
            <w:r>
              <w:rPr>
                <w:b w:val="0"/>
                <w:sz w:val="18"/>
              </w:rPr>
              <w:t>Integration with mill gate system by Q3 FY2025</w:t>
            </w:r>
          </w:p>
        </w:tc>
      </w:tr>
      <w:tr>
        <w:tc>
          <w:tcPr>
            <w:tcW w:type="dxa" w:w="2280"/>
          </w:tcPr>
          <w:p>
            <w:r>
              <w:rPr>
                <w:b w:val="0"/>
                <w:sz w:val="18"/>
              </w:rPr>
              <w:t>Grievance mechanism</w:t>
            </w:r>
          </w:p>
        </w:tc>
        <w:tc>
          <w:tcPr>
            <w:tcW w:type="dxa" w:w="2280"/>
          </w:tcPr>
          <w:p>
            <w:r>
              <w:rPr>
                <w:b w:val="0"/>
                <w:sz w:val="18"/>
              </w:rPr>
              <w:t>Exists -- public tracker on zavagroup.com</w:t>
            </w:r>
          </w:p>
        </w:tc>
        <w:tc>
          <w:tcPr>
            <w:tcW w:type="dxa" w:w="2280"/>
          </w:tcPr>
          <w:p>
            <w:r>
              <w:rPr>
                <w:b w:val="0"/>
                <w:sz w:val="18"/>
              </w:rPr>
              <w:t>Not EUDR-specific categorisation</w:t>
            </w:r>
          </w:p>
        </w:tc>
        <w:tc>
          <w:tcPr>
            <w:tcW w:type="dxa" w:w="2280"/>
          </w:tcPr>
          <w:p>
            <w:r>
              <w:rPr>
                <w:b w:val="0"/>
                <w:sz w:val="18"/>
              </w:rPr>
              <w:t>Add EUDR-specific grievance category by Q2 FY2025</w:t>
            </w:r>
          </w:p>
        </w:tc>
      </w:tr>
    </w:tbl>
    <w:p/>
    <w:p>
      <w:pPr>
        <w:jc w:val="center"/>
      </w:pPr>
      <w:r>
        <w:rPr>
          <w:color w:val="6B7280"/>
          <w:sz w:val="18"/>
        </w:rPr>
        <w:t>Zava Agribusiness | RSPO Audit Report &amp; CAP | Perkebunan Lestari | Sep 2024 | CONFIDENTIAL</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