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44"/>
        </w:rPr>
        <w:t>MERIDIAN BANK BERHAD</w:t>
      </w:r>
    </w:p>
    <w:p>
      <w:pPr>
        <w:jc w:val="center"/>
      </w:pPr>
      <w:r>
        <w:rPr>
          <w:rFonts w:ascii="Segoe UI" w:hAnsi="Segoe UI"/>
          <w:color w:val="0078D4"/>
          <w:sz w:val="26"/>
        </w:rPr>
        <w:t>Credit Quality Recovery &amp; Digital Transformation Strategy | FY2025–2026</w:t>
      </w:r>
    </w:p>
    <w:p/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1. EXECUTIVE OVERVIEW</w:t>
      </w:r>
    </w:p>
    <w:p>
      <w:pPr>
        <w:spacing w:after="120"/>
      </w:pPr>
      <w:r>
        <w:rPr>
          <w:rFonts w:ascii="Segoe UI" w:hAnsi="Segoe UI"/>
          <w:sz w:val="20"/>
        </w:rPr>
        <w:t>Meridian Bank Berhad is a mid-tier Malaysian commercial bank with total assets of MYR 68.4 billion, total loans of MYR 49.1 billion, and 248 branches nationwide. FY2024 net profit declined 22.7% YoY to MYR 554 million — primarily driven by a surge in Personal Financing NPL to 14.2% and the consequent increase in loan loss provisions (+84% YoY). This strategy document outlines the bank's dual-track recovery agenda: (1) arresting the credit quality deterioration in the retail portfolio, and (2) accelerating digital banking to improve cost efficiency and improve customer acquisition economics.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2. CREDIT QUALITY CRISIS — PERSONAL FINANCING</w:t>
      </w:r>
    </w:p>
    <w:p>
      <w:pPr>
        <w:spacing w:after="120"/>
      </w:pPr>
      <w:r>
        <w:rPr>
          <w:rFonts w:ascii="Segoe UI" w:hAnsi="Segoe UI"/>
          <w:sz w:val="20"/>
        </w:rPr>
        <w:t>Personal Financing NPL reached 14.2% in Q1 FY2025 — approximately 4x the BNM industry threshold of 3.5%. This has triggered a BNM supervisory enquiry under BNM's PCOS (Prudential Credit Oversight Standards) framework.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2.1 Root Cause Analysis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Aggressive growth phase FY2021-FY2022: Meridian Bank grew Personal Financing book by 42% over 24 months, targeting B40 and M40 income segments via digital channels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Credit scoring model not calibrated for post-pandemic income volatility: median borrower income in this segment fell 12-18% post-MCO cessation relief (Dec 2022)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Collection infrastructure under-invested: Meridian's collection team (128 FTE) is handling 4x the volume it was designed for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Third-party agent collections: 3 external agencies engaged — 2 have generated BNM complaints for aggressive collection practices (formal warning issued Jan 2025)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Rate sensitivity: Most Personal Financing is at variable OPR+3.5%. OPR increases in FY2022-FY2023 pushed effective rates above borrower serviceability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2.2 Recovery Plan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Debt Restructuring Programme (DRP): </w:t>
      </w:r>
      <w:r>
        <w:rPr>
          <w:rFonts w:ascii="Segoe UI" w:hAnsi="Segoe UI"/>
          <w:sz w:val="20"/>
        </w:rPr>
        <w:t>Proactive outreach to 48,000 distressed borrowers. Offer: extend tenor by 24-36 months + 2% rate reduction for 12 months (conditional on timely payment). Target: 60% participation rate. Estimated NPL reduction: 6-8 percentage points over 18 months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Collection Transformation: </w:t>
      </w:r>
      <w:r>
        <w:rPr>
          <w:rFonts w:ascii="Segoe UI" w:hAnsi="Segoe UI"/>
          <w:sz w:val="20"/>
        </w:rPr>
        <w:t>Replace 2 non-compliant agencies with a single in-house collection unit. Hire 80 additional trained collectors. Deploy AI-powered early warning system (FICO Debt Manager) — already in procurement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Credit Scoring Recalibration: </w:t>
      </w:r>
      <w:r>
        <w:rPr>
          <w:rFonts w:ascii="Segoe UI" w:hAnsi="Segoe UI"/>
          <w:sz w:val="20"/>
        </w:rPr>
        <w:t>Engage TransUnion CTOS + internal data lake to rebuild retail credit scorecard. Model to include open banking data, utility bill payment history, CCRIS data. Expected improvement in Gini coefficient: from 0.42 to 0.58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Provision Build: </w:t>
      </w:r>
      <w:r>
        <w:rPr>
          <w:rFonts w:ascii="Segoe UI" w:hAnsi="Segoe UI"/>
          <w:sz w:val="20"/>
        </w:rPr>
        <w:t>FY2025 provisioning budget: MYR 680M (conservative). ECL model reviewed by Deloitte — findings incorporated. Provision coverage target: 80% by Dec 2025 (current 42.4%)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3. DIGITAL BANKING TRANSFORMATION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3.1 MeridianGo App — Enhancement Roadmap</w:t>
      </w:r>
    </w:p>
    <w:p>
      <w:pPr>
        <w:spacing w:after="120"/>
      </w:pPr>
      <w:r>
        <w:rPr>
          <w:rFonts w:ascii="Segoe UI" w:hAnsi="Segoe UI"/>
          <w:sz w:val="20"/>
        </w:rPr>
        <w:t>MeridianGo mobile app has 412,000 MAU — growing 45% YoY but still significantly below peers (Maybank2u: 12M MAU). App Store rating: 4.2 (target 4.5). Three priority feature releases in FY2025: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Q2 2025 — Digital Loan Origination: </w:t>
      </w:r>
      <w:r>
        <w:rPr>
          <w:rFonts w:ascii="Segoe UI" w:hAnsi="Segoe UI"/>
          <w:sz w:val="20"/>
        </w:rPr>
        <w:t>End-to-end digital personal loan application with eKYC. Eliminate 14-day manual processing. Target: 72-hour approval. Reduce branch-dependent applications from 68% to 30%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Q3 2025 — SmartSave AI: </w:t>
      </w:r>
      <w:r>
        <w:rPr>
          <w:rFonts w:ascii="Segoe UI" w:hAnsi="Segoe UI"/>
          <w:sz w:val="20"/>
        </w:rPr>
        <w:t>AI-powered savings and spending insights. Round-up savings feature. Gamification layer (savings challenges). Target: MYR 1.2B in new deposits from app users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Q4 2025 — Open Banking Marketplace: </w:t>
      </w:r>
      <w:r>
        <w:rPr>
          <w:rFonts w:ascii="Segoe UI" w:hAnsi="Segoe UI"/>
          <w:sz w:val="20"/>
        </w:rPr>
        <w:t>5 fintech partnerships: insurance aggregation (Great Eastern, Allianz), investment (Fundsupermart), remittance (Merchantrade, Wise). Revenue sharing model. Target: MYR 48M non-interest income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3.2 Branch Rationalisation</w:t>
      </w:r>
    </w:p>
    <w:p>
      <w:pPr>
        <w:spacing w:after="120"/>
      </w:pPr>
      <w:r>
        <w:rPr>
          <w:rFonts w:ascii="Segoe UI" w:hAnsi="Segoe UI"/>
          <w:sz w:val="20"/>
        </w:rPr>
        <w:t>Meridian's 248 branches cost MYR 284M/yr to operate (22.4% of total overhead). Target: rationalise to 180 branches by FY2027. Strategy: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Convert 42 underperforming branches to 'micro-branches' (3 staff, advisory-only — no cash tellers)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Close 26 branches in &lt;2km proximity to other Meridian branches (overlap map completed)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Partner with 7-Eleven and MyNews for CDM (Cash Deposit Machine) placement in vacated areas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Reinvest MYR 84M of savings into digital and contact centre capabilities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4. CAPITAL PLAN FY2025-FY2026</w:t>
      </w:r>
    </w:p>
    <w:p>
      <w:pPr>
        <w:spacing w:after="120"/>
      </w:pPr>
      <w:r>
        <w:rPr>
          <w:rFonts w:ascii="Segoe UI" w:hAnsi="Segoe UI"/>
          <w:sz w:val="20"/>
        </w:rPr>
        <w:t>CET1 ratio has declined from 13.8% (Q1 FY2024) to 11.8% (Q1 FY2025) — driven by provision build and loan growth. Below internal target of 13.5%. BNM minimum: 7.0%.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Rights Issue (proposed): </w:t>
      </w:r>
      <w:r>
        <w:rPr>
          <w:rFonts w:ascii="Segoe UI" w:hAnsi="Segoe UI"/>
          <w:sz w:val="20"/>
        </w:rPr>
        <w:t>MYR 1.2B rights issue at 10% discount to NTA — target Q3 2025. Expected CET1 uplift: +1.4 percentage points. Pending Board approval and SC prospectus clearance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Asset Recycling: </w:t>
      </w:r>
      <w:r>
        <w:rPr>
          <w:rFonts w:ascii="Segoe UI" w:hAnsi="Segoe UI"/>
          <w:sz w:val="20"/>
        </w:rPr>
        <w:t>Dispose of non-core investment properties (3 assets, estimated MYR 480M). Net proceeds after deferred tax: MYR 380M — CET1 uplift: +0.5pp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RWA Optimisation: </w:t>
      </w:r>
      <w:r>
        <w:rPr>
          <w:rFonts w:ascii="Segoe UI" w:hAnsi="Segoe UI"/>
          <w:sz w:val="20"/>
        </w:rPr>
        <w:t>Reduce concentration in high-RWA SME real estate financing — target MYR 2.4B RWA reduction. CET1 uplift: +0.3pp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Target CET1 by Dec 2026: </w:t>
      </w:r>
      <w:r>
        <w:rPr>
          <w:rFonts w:ascii="Segoe UI" w:hAnsi="Segoe UI"/>
          <w:sz w:val="20"/>
        </w:rPr>
        <w:t>13.0% — within 0.5pp of internal target. Full restoration to 13.5% by FY2027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