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2D55"/>
          <w:sz w:val="44"/>
        </w:rPr>
        <w:t>CITRA UNIVERSITY GROUP BERHAD</w:t>
      </w:r>
    </w:p>
    <w:p>
      <w:pPr>
        <w:jc w:val="center"/>
      </w:pPr>
      <w:r>
        <w:rPr>
          <w:rFonts w:ascii="Segoe UI" w:hAnsi="Segoe UI"/>
          <w:color w:val="0078D4"/>
          <w:sz w:val="26"/>
        </w:rPr>
        <w:t>Academic Excellence &amp; Internationalisation Strategy | FY2025–2027</w:t>
      </w:r>
    </w:p>
    <w:p/>
    <w:p>
      <w:pPr>
        <w:spacing w:before="280" w:after="120"/>
      </w:pPr>
      <w:r>
        <w:rPr>
          <w:rFonts w:ascii="Segoe UI" w:hAnsi="Segoe UI"/>
          <w:b/>
          <w:color w:val="1F2D55"/>
          <w:sz w:val="32"/>
        </w:rPr>
        <w:t>1. EXECUTIVE OVERVIEW</w:t>
      </w:r>
    </w:p>
    <w:p>
      <w:pPr>
        <w:spacing w:after="120"/>
      </w:pPr>
      <w:r>
        <w:rPr>
          <w:rFonts w:ascii="Segoe UI" w:hAnsi="Segoe UI"/>
          <w:sz w:val="20"/>
        </w:rPr>
        <w:t>Citra University Group Berhad (CUGB) operates Malaysia's 5th largest private higher education group by enrolment with 55,620 total students across 7 campuses in Malaysia, Indonesia, and Australia. FY2024 group revenue: MYR 680M. Net surplus: MYR 84M (12.4%). The group faces three strategic imperatives: (1) defend revenue amid rising competition from overseas branch campuses and online learning platforms, (2) accelerate research output to improve QS ranking, and (3) execute the Indonesia campus expansion to capture the world's 4th largest higher education market.</w:t>
      </w:r>
    </w:p>
    <w:p>
      <w:pPr>
        <w:spacing w:before="280" w:after="120"/>
      </w:pPr>
      <w:r>
        <w:rPr>
          <w:rFonts w:ascii="Segoe UI" w:hAnsi="Segoe UI"/>
          <w:b/>
          <w:color w:val="1F2D55"/>
          <w:sz w:val="32"/>
        </w:rPr>
        <w:t>2. ACADEMIC PERFORMANCE &amp; QUALITY</w:t>
      </w:r>
    </w:p>
    <w:p>
      <w:pPr>
        <w:spacing w:before="160" w:after="120"/>
      </w:pPr>
      <w:r>
        <w:rPr>
          <w:rFonts w:ascii="Segoe UI" w:hAnsi="Segoe UI"/>
          <w:b/>
          <w:color w:val="1F2D55"/>
          <w:sz w:val="26"/>
        </w:rPr>
        <w:t>2.1 QS World University Rankings — Progress</w:t>
      </w:r>
    </w:p>
    <w:p>
      <w:pPr>
        <w:spacing w:after="120"/>
      </w:pPr>
      <w:r>
        <w:rPr>
          <w:rFonts w:ascii="Segoe UI" w:hAnsi="Segoe UI"/>
          <w:sz w:val="20"/>
        </w:rPr>
        <w:t>Citra University KL (Main) — Current QS Ranking Band: 401-450 globally. Target: Top 350 by FY2027. Key QS metrics and performance:</w:t>
      </w:r>
    </w:p>
    <w:p>
      <w:pPr>
        <w:pStyle w:val="ListBullet"/>
        <w:spacing w:after="80"/>
      </w:pPr>
      <w:r>
        <w:rPr>
          <w:rFonts w:ascii="Segoe UI" w:hAnsi="Segoe UI"/>
          <w:b/>
          <w:sz w:val="20"/>
        </w:rPr>
        <w:t xml:space="preserve">Academic Reputation: </w:t>
      </w:r>
      <w:r>
        <w:rPr>
          <w:rFonts w:ascii="Segoe UI" w:hAnsi="Segoe UI"/>
          <w:sz w:val="20"/>
        </w:rPr>
        <w:t>Score: 42.4/100. Gap vs Top 350: need 52+. Action: 20 senior faculty recruitment campaign (senior full professors) — target institutions: NUS, Monash, Bristol</w:t>
      </w:r>
    </w:p>
    <w:p>
      <w:pPr>
        <w:pStyle w:val="ListBullet"/>
        <w:spacing w:after="80"/>
      </w:pPr>
      <w:r>
        <w:rPr>
          <w:rFonts w:ascii="Segoe UI" w:hAnsi="Segoe UI"/>
          <w:b/>
          <w:sz w:val="20"/>
        </w:rPr>
        <w:t xml:space="preserve">Employer Reputation: </w:t>
      </w:r>
      <w:r>
        <w:rPr>
          <w:rFonts w:ascii="Segoe UI" w:hAnsi="Segoe UI"/>
          <w:sz w:val="20"/>
        </w:rPr>
        <w:t>Score: 58.4/100. Already above benchmark for our band. Strength: strong industry advisory boards and graduate placement. Maintain.</w:t>
      </w:r>
    </w:p>
    <w:p>
      <w:pPr>
        <w:pStyle w:val="ListBullet"/>
        <w:spacing w:after="80"/>
      </w:pPr>
      <w:r>
        <w:rPr>
          <w:rFonts w:ascii="Segoe UI" w:hAnsi="Segoe UI"/>
          <w:b/>
          <w:sz w:val="20"/>
        </w:rPr>
        <w:t xml:space="preserve">Faculty-Student Ratio: </w:t>
      </w:r>
      <w:r>
        <w:rPr>
          <w:rFonts w:ascii="Segoe UI" w:hAnsi="Segoe UI"/>
          <w:sz w:val="20"/>
        </w:rPr>
        <w:t>Current: 1:18. Target: 1:15. Hire 84 additional faculty by Dec 2025. Budget: MYR 42M (average MYR 500K/faculty including benefits).</w:t>
      </w:r>
    </w:p>
    <w:p>
      <w:pPr>
        <w:pStyle w:val="ListBullet"/>
        <w:spacing w:after="80"/>
      </w:pPr>
      <w:r>
        <w:rPr>
          <w:rFonts w:ascii="Segoe UI" w:hAnsi="Segoe UI"/>
          <w:b/>
          <w:sz w:val="20"/>
        </w:rPr>
        <w:t xml:space="preserve">Citations per Faculty: </w:t>
      </w:r>
      <w:r>
        <w:rPr>
          <w:rFonts w:ascii="Segoe UI" w:hAnsi="Segoe UI"/>
          <w:sz w:val="20"/>
        </w:rPr>
        <w:t>Current: 4.2 citations/faculty/year. Target: 6.0. Research Excellence Fund: MYR 28M for citation-focused journals and open-access publishing.</w:t>
      </w:r>
    </w:p>
    <w:p>
      <w:pPr>
        <w:pStyle w:val="ListBullet"/>
        <w:spacing w:after="80"/>
      </w:pPr>
      <w:r>
        <w:rPr>
          <w:rFonts w:ascii="Segoe UI" w:hAnsi="Segoe UI"/>
          <w:b/>
          <w:sz w:val="20"/>
        </w:rPr>
        <w:t xml:space="preserve">International Students %: </w:t>
      </w:r>
      <w:r>
        <w:rPr>
          <w:rFonts w:ascii="Segoe UI" w:hAnsi="Segoe UI"/>
          <w:sz w:val="20"/>
        </w:rPr>
        <w:t>Current: 22%. Target: 30% by FY2027. Scholarship programme (200 full scholarships/year targeting Indonesia, Bangladesh, MENA, East Africa). Estimated cost: MYR 24M/year.</w:t>
      </w:r>
    </w:p>
    <w:p>
      <w:pPr>
        <w:spacing w:before="160" w:after="120"/>
      </w:pPr>
      <w:r>
        <w:rPr>
          <w:rFonts w:ascii="Segoe UI" w:hAnsi="Segoe UI"/>
          <w:b/>
          <w:color w:val="1F2D55"/>
          <w:sz w:val="26"/>
        </w:rPr>
        <w:t>2.2 New Programme Launches FY2025</w:t>
      </w:r>
    </w:p>
    <w:p>
      <w:pPr>
        <w:pStyle w:val="ListBullet"/>
        <w:spacing w:after="80"/>
      </w:pPr>
      <w:r>
        <w:rPr>
          <w:rFonts w:ascii="Segoe UI" w:hAnsi="Segoe UI"/>
          <w:b/>
          <w:sz w:val="20"/>
        </w:rPr>
        <w:t xml:space="preserve">BSc Artificial Intelligence &amp; Data Engineering: </w:t>
      </w:r>
      <w:r>
        <w:rPr>
          <w:rFonts w:ascii="Segoe UI" w:hAnsi="Segoe UI"/>
          <w:sz w:val="20"/>
        </w:rPr>
        <w:t>New intake Jan 2026. 120 seats. Industry-designed curriculum with Microsoft, AWS, Google Cloud. Graduate employment target: 94%+ within 6 months. Tuition: MYR 14,800/semester.</w:t>
      </w:r>
    </w:p>
    <w:p>
      <w:pPr>
        <w:pStyle w:val="ListBullet"/>
        <w:spacing w:after="80"/>
      </w:pPr>
      <w:r>
        <w:rPr>
          <w:rFonts w:ascii="Segoe UI" w:hAnsi="Segoe UI"/>
          <w:b/>
          <w:sz w:val="20"/>
        </w:rPr>
        <w:t xml:space="preserve">MBA (Sustainability &amp; ESG Leadership): </w:t>
      </w:r>
      <w:r>
        <w:rPr>
          <w:rFonts w:ascii="Segoe UI" w:hAnsi="Segoe UI"/>
          <w:sz w:val="20"/>
        </w:rPr>
        <w:t>Niche MBA targeting ESG professionals. 48 seats per cohort. Industry partners: Bursa Malaysia, WWF-Malaysia, UNDP. Launch Sep 2025.</w:t>
      </w:r>
    </w:p>
    <w:p>
      <w:pPr>
        <w:pStyle w:val="ListBullet"/>
        <w:spacing w:after="80"/>
      </w:pPr>
      <w:r>
        <w:rPr>
          <w:rFonts w:ascii="Segoe UI" w:hAnsi="Segoe UI"/>
          <w:b/>
          <w:sz w:val="20"/>
        </w:rPr>
        <w:t xml:space="preserve">BEng Quantum Engineering: </w:t>
      </w:r>
      <w:r>
        <w:rPr>
          <w:rFonts w:ascii="Segoe UI" w:hAnsi="Segoe UI"/>
          <w:sz w:val="20"/>
        </w:rPr>
        <w:t>First in Malaysia. 60 seats. Joint programme with IBM Research (India) and CERN (visiting lecturers). Long-horizon — first graduates 2029.</w:t>
      </w:r>
    </w:p>
    <w:p>
      <w:pPr>
        <w:pStyle w:val="ListBullet"/>
        <w:spacing w:after="80"/>
      </w:pPr>
      <w:r>
        <w:rPr>
          <w:rFonts w:ascii="Segoe UI" w:hAnsi="Segoe UI"/>
          <w:b/>
          <w:sz w:val="20"/>
        </w:rPr>
        <w:t xml:space="preserve">MBiomed (Clinical AI): </w:t>
      </w:r>
      <w:r>
        <w:rPr>
          <w:rFonts w:ascii="Segoe UI" w:hAnsi="Segoe UI"/>
          <w:sz w:val="20"/>
        </w:rPr>
        <w:t>Partnership with Apex Health Group — clinical placement. 40 seats. Tuition: MYR 24,000/yr. Targets doctor-turned-AI-specialist segment.</w:t>
      </w:r>
    </w:p>
    <w:p>
      <w:pPr>
        <w:spacing w:after="80"/>
      </w:pPr>
      <w:r>
        <w:rPr>
          <w:color w:val="CCCCDD"/>
          <w:sz w:val="16"/>
        </w:rPr>
        <w:t>────────────────────────────────────────────────────────────────────────────────</w:t>
      </w:r>
    </w:p>
    <w:p>
      <w:pPr>
        <w:spacing w:before="280" w:after="120"/>
      </w:pPr>
      <w:r>
        <w:rPr>
          <w:rFonts w:ascii="Segoe UI" w:hAnsi="Segoe UI"/>
          <w:b/>
          <w:color w:val="1F2D55"/>
          <w:sz w:val="32"/>
        </w:rPr>
        <w:t>3. INDONESIA EXPANSION</w:t>
      </w:r>
    </w:p>
    <w:p>
      <w:pPr>
        <w:spacing w:after="120"/>
      </w:pPr>
      <w:r>
        <w:rPr>
          <w:rFonts w:ascii="Segoe UI" w:hAnsi="Segoe UI"/>
          <w:sz w:val="20"/>
        </w:rPr>
        <w:t>Indonesia Strategy: Citra Indonesia (Jakarta + Surabaya) currently generates MYR 192M revenue (28% of group). The Indonesia higher education market has 8.4 million students and 4,500+ registered private universities — but only 124 have BAN-PT 'Unggul' (Excellent) accreditation. Citra Jakarta currently holds 'Baik Sekali' (Very Good) and is targeting 'Unggul' by FY2026.</w:t>
      </w:r>
    </w:p>
    <w:p>
      <w:pPr>
        <w:pStyle w:val="ListBullet"/>
        <w:spacing w:after="80"/>
      </w:pPr>
      <w:r>
        <w:rPr>
          <w:rFonts w:ascii="Segoe UI" w:hAnsi="Segoe UI"/>
          <w:sz w:val="20"/>
        </w:rPr>
        <w:t>Target BAN-PT Unggul accreditation: Infrastructure investment MYR 48M (library, labs, faculty accommodation). Timeline: assessment Q3 2025, accreditation Q1 2026</w:t>
      </w:r>
    </w:p>
    <w:p>
      <w:pPr>
        <w:pStyle w:val="ListBullet"/>
        <w:spacing w:after="80"/>
      </w:pPr>
      <w:r>
        <w:rPr>
          <w:rFonts w:ascii="Segoe UI" w:hAnsi="Segoe UI"/>
          <w:sz w:val="20"/>
        </w:rPr>
        <w:t>New campus: Citra Bandung — 8,000 students by FY2028. Land acquired in Jatinangor education corridor. Greenfield investment: IDR 840B (MYR 252M). Commence construction Q2 2025.</w:t>
      </w:r>
    </w:p>
    <w:p>
      <w:pPr>
        <w:pStyle w:val="ListBullet"/>
        <w:spacing w:after="80"/>
      </w:pPr>
      <w:r>
        <w:rPr>
          <w:rFonts w:ascii="Segoe UI" w:hAnsi="Segoe UI"/>
          <w:sz w:val="20"/>
        </w:rPr>
        <w:t>Digital-first modular programmes: Citra Online — fully accredited online diplomas (target 12,000 online students by FY2027). Low capex, scalable, reaches Tier 2/3 Indonesian cities.</w:t>
      </w:r>
    </w:p>
    <w:p>
      <w:pPr>
        <w:pStyle w:val="ListBullet"/>
        <w:spacing w:after="80"/>
      </w:pPr>
      <w:r>
        <w:rPr>
          <w:rFonts w:ascii="Segoe UI" w:hAnsi="Segoe UI"/>
          <w:sz w:val="20"/>
        </w:rPr>
        <w:t>Partnership: Universitas Gadjah Mada (UGM) collaborative research programme — 3 joint research centres in AI, tropical medicine, sustainable agriculture.</w:t>
      </w:r>
    </w:p>
    <w:p>
      <w:pPr>
        <w:spacing w:after="80"/>
      </w:pPr>
      <w:r>
        <w:rPr>
          <w:color w:val="CCCCDD"/>
          <w:sz w:val="16"/>
        </w:rPr>
        <w:t>────────────────────────────────────────────────────────────────────────────────</w:t>
      </w:r>
    </w:p>
    <w:p>
      <w:pPr>
        <w:spacing w:before="280" w:after="120"/>
      </w:pPr>
      <w:r>
        <w:rPr>
          <w:rFonts w:ascii="Segoe UI" w:hAnsi="Segoe UI"/>
          <w:b/>
          <w:color w:val="1F2D55"/>
          <w:sz w:val="32"/>
        </w:rPr>
        <w:t>4. RESEARCH COMMERCIALISATION</w:t>
      </w:r>
    </w:p>
    <w:p>
      <w:pPr>
        <w:spacing w:after="120"/>
      </w:pPr>
      <w:r>
        <w:rPr>
          <w:rFonts w:ascii="Segoe UI" w:hAnsi="Segoe UI"/>
          <w:sz w:val="20"/>
        </w:rPr>
        <w:t>Citra generated 124 patent applications in FY2024 — up 48% YoY. However, only 8 patents have been commercialised (licensed or spun off). Target: 30 commercialised patents by FY2026.</w:t>
      </w:r>
    </w:p>
    <w:p>
      <w:pPr>
        <w:pStyle w:val="ListBullet"/>
        <w:spacing w:after="80"/>
      </w:pPr>
      <w:r>
        <w:rPr>
          <w:rFonts w:ascii="Segoe UI" w:hAnsi="Segoe UI"/>
          <w:b/>
          <w:sz w:val="20"/>
        </w:rPr>
        <w:t xml:space="preserve">Citra Technology Transfer Office (TTO): </w:t>
      </w:r>
      <w:r>
        <w:rPr>
          <w:rFonts w:ascii="Segoe UI" w:hAnsi="Segoe UI"/>
          <w:sz w:val="20"/>
        </w:rPr>
        <w:t>Established FY2025. 3 dedicated commercialisation officers. Budget: MYR 6.4M. Mandate: active IP portfolio management, industry licensing deals, startup studio</w:t>
      </w:r>
    </w:p>
    <w:p>
      <w:pPr>
        <w:pStyle w:val="ListBullet"/>
        <w:spacing w:after="80"/>
      </w:pPr>
      <w:r>
        <w:rPr>
          <w:rFonts w:ascii="Segoe UI" w:hAnsi="Segoe UI"/>
          <w:b/>
          <w:sz w:val="20"/>
        </w:rPr>
        <w:t xml:space="preserve">CitraVentures — Startup Studio: </w:t>
      </w:r>
      <w:r>
        <w:rPr>
          <w:rFonts w:ascii="Segoe UI" w:hAnsi="Segoe UI"/>
          <w:sz w:val="20"/>
        </w:rPr>
        <w:t>12-month studio model. 3 cohorts/year. 8 startups per cohort. MYR 150K seed per startup + 8% equity. Investors: Cradle Fund, Axiata Digital Innovation Fund (ADIF), alumni angels</w:t>
      </w:r>
    </w:p>
    <w:p>
      <w:pPr>
        <w:pStyle w:val="ListBullet"/>
        <w:spacing w:after="80"/>
      </w:pPr>
      <w:r>
        <w:rPr>
          <w:rFonts w:ascii="Segoe UI" w:hAnsi="Segoe UI"/>
          <w:b/>
          <w:sz w:val="20"/>
        </w:rPr>
        <w:t xml:space="preserve">Industry Research Revenue Target: </w:t>
      </w:r>
      <w:r>
        <w:rPr>
          <w:rFonts w:ascii="Segoe UI" w:hAnsi="Segoe UI"/>
          <w:sz w:val="20"/>
        </w:rPr>
        <w:t>MYR 84M industry-commissioned research by FY2026 (vs MYR 42M FY2024). Target sectors: palm oil sustainability (KLK, Sime Darby), EV battery materials (Perodua R&amp;D), AI in finance (Maybank, CIMB)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