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D55"/>
          <w:sz w:val="28"/>
        </w:rPr>
        <w:t>Meeting Prep: PETRONAS Chemicals — BPO Contract Renewal Discussion</w:t>
      </w:r>
    </w:p>
    <w:p>
      <w:r>
        <w:rPr>
          <w:color w:val="6B7280"/>
          <w:sz w:val="20"/>
        </w:rPr>
        <w:t>Email Thread  |  6 messages messages  |  Reference: Email_04_PETRONAS_Meeting_Prep.docx</w:t>
      </w:r>
    </w:p>
    <w:p/>
    <w:p>
      <w:r>
        <w:rPr>
          <w:b/>
          <w:color w:val="1F2D55"/>
          <w:sz w:val="20"/>
        </w:rPr>
        <w:t>From: Patricia Lim (VP Finance, PETRONAS Chemicals) &lt;p.lim@petronaschemi.com.my&gt;</w:t>
      </w:r>
    </w:p>
    <w:p>
      <w:pPr>
        <w:spacing w:before="0" w:after="20"/>
      </w:pPr>
      <w:r>
        <w:rPr>
          <w:b w:val="0"/>
          <w:color w:val="1A1A2E"/>
          <w:sz w:val="20"/>
        </w:rPr>
        <w:t>To: SashaO@ABSx62256373.OnMicrosoft.com &lt;SashaO@ABSx62256373.OnMicrosoft.com&gt;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Sent: Mon, 10 Feb 2025, 9:00 AM</w:t>
      </w:r>
    </w:p>
    <w:p>
      <w:pPr>
        <w:spacing w:before="0" w:after="20"/>
      </w:pPr>
      <w:r>
        <w:rPr>
          <w:b/>
          <w:color w:val="1F2D55"/>
          <w:sz w:val="20"/>
        </w:rPr>
        <w:t>Subject: Meeting Request — PETRONAS Chemicals BPO Contract Renewal (FY2026)</w:t>
      </w:r>
    </w:p>
    <w:p/>
    <w:p>
      <w:pPr>
        <w:spacing w:after="60"/>
      </w:pPr>
      <w:r>
        <w:rPr>
          <w:color w:val="1A1A2E"/>
          <w:sz w:val="20"/>
        </w:rPr>
        <w:t>Dear Ms. Ouellet,</w:t>
      </w:r>
    </w:p>
    <w:p>
      <w:pPr>
        <w:spacing w:after="60"/>
      </w:pPr>
      <w:r>
        <w:rPr>
          <w:color w:val="1A1A2E"/>
          <w:sz w:val="20"/>
        </w:rPr>
        <w:t>I write to request a strategic review meeting regarding Zava BPO's Finance BPO, AP/AR and GL services for PETRONAS Chemicals Group (contract expiry: March 2026).</w:t>
      </w:r>
    </w:p>
    <w:p>
      <w:pPr>
        <w:spacing w:after="60"/>
      </w:pPr>
      <w:r>
        <w:rPr>
          <w:color w:val="1A1A2E"/>
          <w:sz w:val="20"/>
        </w:rPr>
        <w:t>PETRONAS Chemicals is conducting its Shared Services Strategy Review for FY2026-2030. We are evaluating whether to extend with Zava BPO, consolidate with our PETRONAS Corporate Centre, or go to market.</w:t>
      </w:r>
    </w:p>
    <w:p>
      <w:pPr>
        <w:spacing w:after="60"/>
      </w:pPr>
      <w:r>
        <w:rPr>
          <w:color w:val="1A1A2E"/>
          <w:sz w:val="20"/>
        </w:rPr>
        <w:t>The services covered under current USD 24.8M/year contract:</w:t>
      </w:r>
    </w:p>
    <w:p>
      <w:pPr>
        <w:spacing w:after="60"/>
      </w:pPr>
      <w:r>
        <w:rPr>
          <w:color w:val="1A1A2E"/>
          <w:sz w:val="20"/>
        </w:rPr>
        <w:t xml:space="preserve">  • Finance BPO: AP processing, AR Collections, GL reconciliation</w:t>
      </w:r>
    </w:p>
    <w:p>
      <w:pPr>
        <w:spacing w:after="60"/>
      </w:pPr>
      <w:r>
        <w:rPr>
          <w:color w:val="1A1A2E"/>
          <w:sz w:val="20"/>
        </w:rPr>
        <w:t xml:space="preserve">  • Scope: 12 PETRONAS Chemicals entities across Malaysia and Indonesia</w:t>
      </w:r>
    </w:p>
    <w:p>
      <w:pPr>
        <w:spacing w:after="60"/>
      </w:pPr>
      <w:r>
        <w:rPr>
          <w:color w:val="1A1A2E"/>
          <w:sz w:val="20"/>
        </w:rPr>
        <w:t xml:space="preserve">  • Current headcount: 980 FTE (KL + Jakarta delivery)</w:t>
      </w:r>
    </w:p>
    <w:p>
      <w:pPr>
        <w:spacing w:after="60"/>
      </w:pPr>
    </w:p>
    <w:p>
      <w:pPr>
        <w:spacing w:after="60"/>
      </w:pPr>
      <w:r>
        <w:rPr>
          <w:color w:val="1A1A2E"/>
          <w:sz w:val="20"/>
        </w:rPr>
        <w:t>We would like to meet with you and your team on 26 February 2025 at PETRONAS Twin Towers, Level 62.</w:t>
      </w:r>
    </w:p>
    <w:p>
      <w:pPr>
        <w:spacing w:after="60"/>
      </w:pPr>
      <w:r>
        <w:rPr>
          <w:color w:val="1A1A2E"/>
          <w:sz w:val="20"/>
        </w:rPr>
        <w:t>Best regards, Patricia Lim | VP Finance | PETRONAS Chemicals Group Berhad</w:t>
      </w:r>
    </w:p>
    <w:p>
      <w:pPr>
        <w:spacing w:before="80"/>
      </w:pPr>
      <w:r>
        <w:rPr>
          <w:color w:val="6B7280"/>
          <w:sz w:val="16"/>
        </w:rPr>
        <w:t>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r>
        <w:rPr>
          <w:b/>
          <w:color w:val="1F2D55"/>
          <w:sz w:val="20"/>
        </w:rPr>
        <w:t>From: Sasha Ouellet &lt;SashaO@ABSx62256373.OnMicrosoft.com&gt;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To: DaichiM@ABSx62256373.OnMicrosoft.com &lt;DaichiM@ABSx62256373.OnMicrosoft.com&gt;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Sent: Mon, 10 Feb 2025, 11:30 AM</w:t>
      </w:r>
    </w:p>
    <w:p>
      <w:pPr>
        <w:spacing w:before="0" w:after="20"/>
      </w:pPr>
      <w:r>
        <w:rPr>
          <w:b/>
          <w:color w:val="1F2D55"/>
          <w:sz w:val="20"/>
        </w:rPr>
        <w:t>Subject: FW: PETRONAS — Feb 26 Meeting. Prep Required.</w:t>
      </w:r>
    </w:p>
    <w:p/>
    <w:p>
      <w:pPr>
        <w:spacing w:after="60"/>
      </w:pPr>
      <w:r>
        <w:rPr>
          <w:color w:val="1A1A2E"/>
          <w:sz w:val="20"/>
        </w:rPr>
        <w:t>Daichi,</w:t>
      </w:r>
    </w:p>
    <w:p>
      <w:pPr>
        <w:spacing w:after="60"/>
      </w:pPr>
      <w:r>
        <w:rPr>
          <w:color w:val="1A1A2E"/>
          <w:sz w:val="20"/>
        </w:rPr>
        <w:t>Forwarding Patricia Lim's meeting request. This is our most important BPO relationship — USD 24.8M/year, 98.1% SLA, NPS 71.</w:t>
      </w:r>
    </w:p>
    <w:p>
      <w:pPr>
        <w:spacing w:after="60"/>
      </w:pPr>
      <w:r>
        <w:rPr>
          <w:color w:val="1A1A2E"/>
          <w:sz w:val="20"/>
        </w:rPr>
        <w:t>PETRONAS is our reference client. If we lose this, it affects our ability to win new logos.</w:t>
      </w:r>
    </w:p>
    <w:p>
      <w:pPr>
        <w:spacing w:after="60"/>
      </w:pPr>
      <w:r>
        <w:rPr>
          <w:color w:val="1A1A2E"/>
          <w:sz w:val="20"/>
        </w:rPr>
        <w:t>For the 26 Feb meeting, I need you to prepare:</w:t>
      </w:r>
    </w:p>
    <w:p>
      <w:pPr>
        <w:spacing w:after="60"/>
      </w:pPr>
      <w:r>
        <w:rPr>
          <w:color w:val="1A1A2E"/>
          <w:sz w:val="20"/>
        </w:rPr>
        <w:t xml:space="preserve">  1. Performance report: FY2024 SLA dashboard and NPS trend (PETRONAS account specifically)</w:t>
      </w:r>
    </w:p>
    <w:p>
      <w:pPr>
        <w:spacing w:after="60"/>
      </w:pPr>
      <w:r>
        <w:rPr>
          <w:color w:val="1A1A2E"/>
          <w:sz w:val="20"/>
        </w:rPr>
        <w:t xml:space="preserve">  2. Innovation proposal: How M365 Copilot can enhance Finance BPO — show 15-20% efficiency gain</w:t>
      </w:r>
    </w:p>
    <w:p>
      <w:pPr>
        <w:spacing w:after="60"/>
      </w:pPr>
      <w:r>
        <w:rPr>
          <w:color w:val="1A1A2E"/>
          <w:sz w:val="20"/>
        </w:rPr>
        <w:t xml:space="preserve">  3. Scope expansion proposal: Treasury operations, tax compliance, ESG reporting support</w:t>
      </w:r>
    </w:p>
    <w:p>
      <w:pPr>
        <w:spacing w:after="60"/>
      </w:pPr>
      <w:r>
        <w:rPr>
          <w:color w:val="1A1A2E"/>
          <w:sz w:val="20"/>
        </w:rPr>
        <w:t xml:space="preserve">  4. Pricing model: Options for renewal (cost plus, fixed fee, outcome-based)</w:t>
      </w:r>
    </w:p>
    <w:p>
      <w:pPr>
        <w:spacing w:after="60"/>
      </w:pPr>
      <w:r>
        <w:rPr>
          <w:color w:val="1A1A2E"/>
          <w:sz w:val="20"/>
        </w:rPr>
        <w:t>I will lead the meeting. You will present the innovation and scope expansion sections.</w:t>
      </w:r>
    </w:p>
    <w:p>
      <w:pPr>
        <w:spacing w:after="60"/>
      </w:pPr>
      <w:r>
        <w:rPr>
          <w:color w:val="1A1A2E"/>
          <w:sz w:val="20"/>
        </w:rPr>
        <w:t>Sasha</w:t>
      </w:r>
    </w:p>
    <w:p>
      <w:pPr>
        <w:spacing w:before="80"/>
      </w:pPr>
      <w:r>
        <w:rPr>
          <w:color w:val="6B7280"/>
          <w:sz w:val="16"/>
        </w:rPr>
        <w:t>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r>
        <w:rPr>
          <w:b/>
          <w:color w:val="1F2D55"/>
          <w:sz w:val="20"/>
        </w:rPr>
        <w:t>From: Daichi Maruyama &lt;DaichiM@ABSx62256373.OnMicrosoft.com&gt;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To: SashaO@ABSx62256373.OnMicrosoft.com &lt;SashaO@ABSx62256373.OnMicrosoft.com&gt;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Sent: Tue, 11 Feb 2025, 3:00 PM</w:t>
      </w:r>
    </w:p>
    <w:p>
      <w:pPr>
        <w:spacing w:before="0" w:after="20"/>
      </w:pPr>
      <w:r>
        <w:rPr>
          <w:b/>
          <w:color w:val="1F2D55"/>
          <w:sz w:val="20"/>
        </w:rPr>
        <w:t>Subject: RE: PETRONAS Meeting Prep — SLA Data and Innovation Pitch Ready</w:t>
      </w:r>
    </w:p>
    <w:p/>
    <w:p>
      <w:pPr>
        <w:spacing w:after="60"/>
      </w:pPr>
      <w:r>
        <w:rPr>
          <w:color w:val="1A1A2E"/>
          <w:sz w:val="20"/>
        </w:rPr>
        <w:t>Sasha,</w:t>
      </w:r>
    </w:p>
    <w:p>
      <w:pPr>
        <w:spacing w:after="60"/>
      </w:pPr>
      <w:r>
        <w:rPr>
          <w:color w:val="1A1A2E"/>
          <w:sz w:val="20"/>
        </w:rPr>
        <w:t>Prep materials ready. Key data points for the meeting:</w:t>
      </w:r>
    </w:p>
    <w:p>
      <w:pPr>
        <w:spacing w:after="60"/>
      </w:pPr>
    </w:p>
    <w:p>
      <w:pPr>
        <w:spacing w:after="60"/>
      </w:pPr>
      <w:r>
        <w:rPr>
          <w:color w:val="1A1A2E"/>
          <w:sz w:val="20"/>
        </w:rPr>
        <w:t>PERFORMANCE HIGHLIGHTS (FY2024):</w:t>
      </w:r>
    </w:p>
    <w:p>
      <w:pPr>
        <w:spacing w:after="60"/>
      </w:pPr>
      <w:r>
        <w:rPr>
          <w:color w:val="1A1A2E"/>
          <w:sz w:val="20"/>
        </w:rPr>
        <w:t xml:space="preserve">  • AP Processing accuracy: 99.4% (target 98.5%) — 0.9% above target</w:t>
      </w:r>
    </w:p>
    <w:p>
      <w:pPr>
        <w:spacing w:after="60"/>
      </w:pPr>
      <w:r>
        <w:rPr>
          <w:color w:val="1A1A2E"/>
          <w:sz w:val="20"/>
        </w:rPr>
        <w:t xml:space="preserve">  • Month-end close cycle: 3.2 days (PETRONAS target: 5 days) — 37% faster</w:t>
      </w:r>
    </w:p>
    <w:p>
      <w:pPr>
        <w:spacing w:after="60"/>
      </w:pPr>
      <w:r>
        <w:rPr>
          <w:color w:val="1A1A2E"/>
          <w:sz w:val="20"/>
        </w:rPr>
        <w:t xml:space="preserve">  • AR Collections: DSO reduced from 47 days to 38 days over 24 months</w:t>
      </w:r>
    </w:p>
    <w:p>
      <w:pPr>
        <w:spacing w:after="60"/>
      </w:pPr>
      <w:r>
        <w:rPr>
          <w:color w:val="1A1A2E"/>
          <w:sz w:val="20"/>
        </w:rPr>
        <w:t xml:space="preserve">  • GL Reconciliation: 100% on-time (0 delays in FY2024)</w:t>
      </w:r>
    </w:p>
    <w:p>
      <w:pPr>
        <w:spacing w:after="60"/>
      </w:pPr>
    </w:p>
    <w:p>
      <w:pPr>
        <w:spacing w:after="60"/>
      </w:pPr>
      <w:r>
        <w:rPr>
          <w:color w:val="1A1A2E"/>
          <w:sz w:val="20"/>
        </w:rPr>
        <w:t>COPILOT INNOVATION PITCH:</w:t>
      </w:r>
    </w:p>
    <w:p>
      <w:pPr>
        <w:spacing w:after="60"/>
      </w:pPr>
      <w:r>
        <w:rPr>
          <w:color w:val="1A1A2E"/>
          <w:sz w:val="20"/>
        </w:rPr>
        <w:t xml:space="preserve">  • AP Invoice Processing: Copilot for Finance automates 3-way matching — projected 22% FTE reduction on AP team</w:t>
      </w:r>
    </w:p>
    <w:p>
      <w:pPr>
        <w:spacing w:after="60"/>
      </w:pPr>
      <w:r>
        <w:rPr>
          <w:color w:val="1A1A2E"/>
          <w:sz w:val="20"/>
        </w:rPr>
        <w:t xml:space="preserve">  • GL Reconciliation: Copilot Analyst runs variance analysis in minutes vs hours</w:t>
      </w:r>
    </w:p>
    <w:p>
      <w:pPr>
        <w:spacing w:after="60"/>
      </w:pPr>
      <w:r>
        <w:rPr>
          <w:color w:val="1A1A2E"/>
          <w:sz w:val="20"/>
        </w:rPr>
        <w:t xml:space="preserve">  • CFO Narrative: Copilot in Word auto-drafts management commentary from Excel data</w:t>
      </w:r>
    </w:p>
    <w:p>
      <w:pPr>
        <w:spacing w:after="60"/>
      </w:pPr>
      <w:r>
        <w:rPr>
          <w:color w:val="1A1A2E"/>
          <w:sz w:val="20"/>
        </w:rPr>
        <w:t xml:space="preserve">  • Projected savings to PETRONAS: ~USD 2.1M/year in efficiency gains</w:t>
      </w:r>
    </w:p>
    <w:p>
      <w:pPr>
        <w:spacing w:after="60"/>
      </w:pPr>
    </w:p>
    <w:p>
      <w:pPr>
        <w:spacing w:after="60"/>
      </w:pPr>
      <w:r>
        <w:rPr>
          <w:color w:val="1A1A2E"/>
          <w:sz w:val="20"/>
        </w:rPr>
        <w:t>SCOPE EXPANSION PROPOSAL: Add Treasury Operations (cash flow forecasting, FX reporting) — estimated +USD 4.2M/year additional contract value.</w:t>
      </w:r>
    </w:p>
    <w:p>
      <w:pPr>
        <w:spacing w:after="60"/>
      </w:pPr>
      <w:r>
        <w:rPr>
          <w:color w:val="1A1A2E"/>
          <w:sz w:val="20"/>
        </w:rPr>
        <w:t>Daichi</w:t>
      </w:r>
    </w:p>
    <w:p>
      <w:pPr>
        <w:spacing w:before="80"/>
      </w:pPr>
      <w:r>
        <w:rPr>
          <w:color w:val="6B7280"/>
          <w:sz w:val="16"/>
        </w:rPr>
        <w:t>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r>
        <w:rPr>
          <w:b/>
          <w:color w:val="1F2D55"/>
          <w:sz w:val="20"/>
        </w:rPr>
        <w:t>From: Sasha Ouellet &lt;SashaO@ABSx62256373.OnMicrosoft.com&gt;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To: DaichiM@ABSx62256373.OnMicrosoft.com &lt;DaichiM@ABSx62256373.OnMicrosoft.com&gt;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Sent: Wed, 12 Feb 2025, 9:15 AM</w:t>
      </w:r>
    </w:p>
    <w:p>
      <w:pPr>
        <w:spacing w:before="0" w:after="20"/>
      </w:pPr>
      <w:r>
        <w:rPr>
          <w:b/>
          <w:color w:val="1F2D55"/>
          <w:sz w:val="20"/>
        </w:rPr>
        <w:t>Subject: RE: PETRONAS Prep — Good. Two Additions.</w:t>
      </w:r>
    </w:p>
    <w:p/>
    <w:p>
      <w:pPr>
        <w:spacing w:after="60"/>
      </w:pPr>
      <w:r>
        <w:rPr>
          <w:color w:val="1A1A2E"/>
          <w:sz w:val="20"/>
        </w:rPr>
        <w:t>Daichi,</w:t>
      </w:r>
    </w:p>
    <w:p>
      <w:pPr>
        <w:spacing w:after="60"/>
      </w:pPr>
      <w:r>
        <w:rPr>
          <w:color w:val="1A1A2E"/>
          <w:sz w:val="20"/>
        </w:rPr>
        <w:t>Excellent prep. Two additional items I need before the meeting:</w:t>
      </w:r>
    </w:p>
    <w:p>
      <w:pPr>
        <w:spacing w:after="60"/>
      </w:pPr>
      <w:r>
        <w:rPr>
          <w:color w:val="1A1A2E"/>
          <w:sz w:val="20"/>
        </w:rPr>
        <w:t xml:space="preserve">  1. Competitive intelligence: PETRONAS mentioned 'consolidate with PETRONAS Corporate Centre' — I need to understand what capabilities their internal SSC has today. What are they likely to benchmark us against?</w:t>
      </w:r>
    </w:p>
    <w:p>
      <w:pPr>
        <w:spacing w:after="60"/>
      </w:pPr>
      <w:r>
        <w:rPr>
          <w:color w:val="1A1A2E"/>
          <w:sz w:val="20"/>
        </w:rPr>
        <w:t xml:space="preserve">  2. Reference story: Prepare a 1-page case study on how we delivered month-end close in 3.2 days vs their 5-day target. This is a powerful story — Patricia Lim is a CFO audience.</w:t>
      </w:r>
    </w:p>
    <w:p>
      <w:pPr>
        <w:spacing w:after="60"/>
      </w:pPr>
      <w:r>
        <w:rPr>
          <w:color w:val="1A1A2E"/>
          <w:sz w:val="20"/>
        </w:rPr>
        <w:t>Also: loop in Hadar on the commercial terms. She needs to approve any pricing model changes above USD 1M impact.</w:t>
      </w:r>
    </w:p>
    <w:p>
      <w:pPr>
        <w:spacing w:after="60"/>
      </w:pPr>
      <w:r>
        <w:rPr>
          <w:color w:val="1A1A2E"/>
          <w:sz w:val="20"/>
        </w:rPr>
        <w:t>Sasha</w:t>
      </w:r>
    </w:p>
    <w:p>
      <w:pPr>
        <w:spacing w:before="80"/>
      </w:pPr>
      <w:r>
        <w:rPr>
          <w:color w:val="6B7280"/>
          <w:sz w:val="16"/>
        </w:rPr>
        <w:t>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r>
        <w:rPr>
          <w:b/>
          <w:color w:val="1F2D55"/>
          <w:sz w:val="20"/>
        </w:rPr>
        <w:t>From: Hadar Caspit &lt;HadarC@ABSx62256373.OnMicrosoft.com&gt;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To: Sasha Ouellet; Daichi Maruyama &lt;SashaO@ABSx62256373.OnMicrosoft.com; DaichiM@ABSx62256373.OnMicrosoft.com&gt;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Sent: Thu, 13 Feb 2025, 10:00 AM</w:t>
      </w:r>
    </w:p>
    <w:p>
      <w:pPr>
        <w:spacing w:before="0" w:after="20"/>
      </w:pPr>
      <w:r>
        <w:rPr>
          <w:b/>
          <w:color w:val="1F2D55"/>
          <w:sz w:val="20"/>
        </w:rPr>
        <w:t>Subject: RE: PETRONAS Commercial Terms — CFO Input</w:t>
      </w:r>
    </w:p>
    <w:p/>
    <w:p>
      <w:pPr>
        <w:spacing w:after="60"/>
      </w:pPr>
      <w:r>
        <w:rPr>
          <w:color w:val="1A1A2E"/>
          <w:sz w:val="20"/>
        </w:rPr>
        <w:t>Sasha, Daichi,</w:t>
      </w:r>
    </w:p>
    <w:p>
      <w:pPr>
        <w:spacing w:after="60"/>
      </w:pPr>
      <w:r>
        <w:rPr>
          <w:color w:val="1A1A2E"/>
          <w:sz w:val="20"/>
        </w:rPr>
        <w:t>On the PETRONAS renewal pricing — here is my guidance:</w:t>
      </w:r>
    </w:p>
    <w:p>
      <w:pPr>
        <w:spacing w:after="60"/>
      </w:pPr>
      <w:r>
        <w:rPr>
          <w:color w:val="1A1A2E"/>
          <w:sz w:val="20"/>
        </w:rPr>
        <w:t xml:space="preserve">  • Current contract: USD 24.8M/year (EBITDA margin ~18.4% after Jakarta/KL DC costs)</w:t>
      </w:r>
    </w:p>
    <w:p>
      <w:pPr>
        <w:spacing w:after="60"/>
      </w:pPr>
      <w:r>
        <w:rPr>
          <w:color w:val="1A1A2E"/>
          <w:sz w:val="20"/>
        </w:rPr>
        <w:t xml:space="preserve">  • Floor price (walk-away): USD 22.5M/year (15% margin minimum)</w:t>
      </w:r>
    </w:p>
    <w:p>
      <w:pPr>
        <w:spacing w:after="60"/>
      </w:pPr>
      <w:r>
        <w:rPr>
          <w:color w:val="1A1A2E"/>
          <w:sz w:val="20"/>
        </w:rPr>
        <w:t xml:space="preserve">  • Target renewal: USD 26.8M/year (+8% for scope expansion and Copilot investment)</w:t>
      </w:r>
    </w:p>
    <w:p>
      <w:pPr>
        <w:spacing w:after="60"/>
      </w:pPr>
      <w:r>
        <w:rPr>
          <w:color w:val="1A1A2E"/>
          <w:sz w:val="20"/>
        </w:rPr>
        <w:t xml:space="preserve">  • Pricing model preference: Outcome-based (cost per invoice processed) — this aligns incentives and protects our margin as we automate</w:t>
      </w:r>
    </w:p>
    <w:p>
      <w:pPr>
        <w:spacing w:after="60"/>
      </w:pPr>
    </w:p>
    <w:p>
      <w:pPr>
        <w:spacing w:after="60"/>
      </w:pPr>
      <w:r>
        <w:rPr>
          <w:color w:val="1A1A2E"/>
          <w:sz w:val="20"/>
        </w:rPr>
        <w:t>One concern: if PETRONAS insists on a cost-plus model with open-book accounting, they will see our automation efficiency gains and demand most of the savings. Structure carefully.</w:t>
      </w:r>
    </w:p>
    <w:p>
      <w:pPr>
        <w:spacing w:after="60"/>
      </w:pPr>
    </w:p>
    <w:p>
      <w:pPr>
        <w:spacing w:after="60"/>
      </w:pPr>
      <w:r>
        <w:rPr>
          <w:color w:val="1A1A2E"/>
          <w:sz w:val="20"/>
        </w:rPr>
        <w:t>Also — given the Cilegon and Mandiri situations, retaining PETRONAS is critical for Group-level BPO revenue stability. I am supportive of going to USD 24.5M (1% reduction) if it secures a 3-year extension.</w:t>
      </w:r>
    </w:p>
    <w:p>
      <w:pPr>
        <w:spacing w:after="60"/>
      </w:pPr>
      <w:r>
        <w:rPr>
          <w:color w:val="1A1A2E"/>
          <w:sz w:val="20"/>
        </w:rPr>
        <w:t>Hadar</w:t>
      </w:r>
    </w:p>
    <w:p>
      <w:pPr>
        <w:spacing w:before="80"/>
      </w:pPr>
      <w:r>
        <w:rPr>
          <w:color w:val="6B7280"/>
          <w:sz w:val="16"/>
        </w:rPr>
        <w:t>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hd w:val="clear" w:color="auto" w:fill="EEF4FF"/>
      </w:pPr>
      <w:r>
        <w:rPr>
          <w:b/>
          <w:color w:val="1F2D55"/>
          <w:sz w:val="20"/>
        </w:rPr>
        <w:t>From: Sasha Ouellet &lt;SashaO@ABSx62256373.OnMicrosoft.com&gt;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To: Patricia Lim &lt;p.lim@petronaschemi.com.my&gt;</w:t>
      </w:r>
    </w:p>
    <w:p>
      <w:pPr>
        <w:spacing w:before="0" w:after="20"/>
      </w:pPr>
      <w:r>
        <w:rPr>
          <w:b w:val="0"/>
          <w:color w:val="1A1A2E"/>
          <w:sz w:val="20"/>
        </w:rPr>
        <w:t>Sent: Fri, 21 Feb 2025, 11:00 AM</w:t>
      </w:r>
    </w:p>
    <w:p>
      <w:pPr>
        <w:spacing w:before="0" w:after="20"/>
      </w:pPr>
      <w:r>
        <w:rPr>
          <w:b/>
          <w:color w:val="1F2D55"/>
          <w:sz w:val="20"/>
        </w:rPr>
        <w:t>Subject: Pre-Meeting Note — 26 Feb PETRONAS Chemicals BPO Review</w:t>
      </w:r>
    </w:p>
    <w:p/>
    <w:p>
      <w:pPr>
        <w:spacing w:after="60"/>
      </w:pPr>
      <w:r>
        <w:rPr>
          <w:color w:val="1A1A2E"/>
          <w:sz w:val="20"/>
        </w:rPr>
        <w:t>Dear Patricia,</w:t>
      </w:r>
    </w:p>
    <w:p>
      <w:pPr>
        <w:spacing w:after="60"/>
      </w:pPr>
      <w:r>
        <w:rPr>
          <w:color w:val="1A1A2E"/>
          <w:sz w:val="20"/>
        </w:rPr>
        <w:t>Looking forward to our meeting on 26 February. I wanted to share a brief pre-read to maximise our time together.</w:t>
      </w:r>
    </w:p>
    <w:p>
      <w:pPr>
        <w:spacing w:after="60"/>
      </w:pPr>
      <w:r>
        <w:rPr>
          <w:color w:val="1A1A2E"/>
          <w:sz w:val="20"/>
        </w:rPr>
        <w:t>Key highlights I plan to share:</w:t>
      </w:r>
    </w:p>
    <w:p>
      <w:pPr>
        <w:spacing w:after="60"/>
      </w:pPr>
      <w:r>
        <w:rPr>
          <w:color w:val="1A1A2E"/>
          <w:sz w:val="20"/>
        </w:rPr>
        <w:t xml:space="preserve">  1. FY2024 Performance: AP accuracy 99.4%, month-end close in 3.2 days (vs 5-day target), DSO reduction 47→38 days</w:t>
      </w:r>
    </w:p>
    <w:p>
      <w:pPr>
        <w:spacing w:after="60"/>
      </w:pPr>
      <w:r>
        <w:rPr>
          <w:color w:val="1A1A2E"/>
          <w:sz w:val="20"/>
        </w:rPr>
        <w:t xml:space="preserve">  2. M365 Copilot Transformation: We have begun deploying Copilot across our Finance BPO teams — early results show 22% efficiency improvement in AP processing. I would like to show you a live demonstration.</w:t>
      </w:r>
    </w:p>
    <w:p>
      <w:pPr>
        <w:spacing w:after="60"/>
      </w:pPr>
      <w:r>
        <w:rPr>
          <w:color w:val="1A1A2E"/>
          <w:sz w:val="20"/>
        </w:rPr>
        <w:t xml:space="preserve">  3. Scope Expansion: We propose to extend to Treasury Operations and ESG Reporting support, which we believe will deliver additional MYR 8-12M per year in cost savings to PETRONAS Chemicals.</w:t>
      </w:r>
    </w:p>
    <w:p>
      <w:pPr>
        <w:spacing w:after="60"/>
      </w:pPr>
    </w:p>
    <w:p>
      <w:pPr>
        <w:spacing w:after="60"/>
      </w:pPr>
      <w:r>
        <w:rPr>
          <w:color w:val="1A1A2E"/>
          <w:sz w:val="20"/>
        </w:rPr>
        <w:t>We view PETRONAS Chemicals as our flagship Finance BPO partnership and are fully committed to growing this relationship.</w:t>
      </w:r>
    </w:p>
    <w:p>
      <w:pPr>
        <w:spacing w:after="60"/>
      </w:pPr>
      <w:r>
        <w:rPr>
          <w:color w:val="1A1A2E"/>
          <w:sz w:val="20"/>
        </w:rPr>
        <w:t>See you on the 26th. I will be joined by our Group COO, Mr. Daichi Maruyama.</w:t>
      </w:r>
    </w:p>
    <w:p>
      <w:pPr>
        <w:spacing w:after="60"/>
      </w:pPr>
      <w:r>
        <w:rPr>
          <w:color w:val="1A1A2E"/>
          <w:sz w:val="20"/>
        </w:rPr>
        <w:t>Warm regards,</w:t>
      </w:r>
    </w:p>
    <w:p>
      <w:pPr>
        <w:spacing w:after="60"/>
      </w:pPr>
      <w:r>
        <w:rPr>
          <w:color w:val="1A1A2E"/>
          <w:sz w:val="20"/>
        </w:rPr>
        <w:t>Sasha Ouellet | Group Chief Strategy Officer | Zava Group Holdings Berhad</w:t>
      </w:r>
    </w:p>
    <w:p>
      <w:pPr>
        <w:spacing w:before="80"/>
      </w:pPr>
      <w:r>
        <w:rPr>
          <w:color w:val="6B7280"/>
          <w:sz w:val="16"/>
        </w:rPr>
        <w:t>————————————————————————————————————————————————————————————————————————————————</w:t>
      </w:r>
    </w:p>
    <w:sectPr w:rsidR="00FC693F" w:rsidRPr="0006063C" w:rsidSect="00034616">
      <w:pgSz w:w="12240" w:h="15840"/>
      <w:pgMar w:top="1247" w:right="141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