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2D55"/>
          <w:sz w:val="28"/>
        </w:rPr>
        <w:t>RE: FMR LLC — Investor Query on Zava Group FY2024 Results &amp; NPL Exposure</w:t>
      </w:r>
    </w:p>
    <w:p>
      <w:r>
        <w:rPr>
          <w:color w:val="6B7280"/>
          <w:sz w:val="20"/>
        </w:rPr>
        <w:t>Email Thread  |  7 messages messages  |  Reference: Email_05_FMR_Investor_Query.docx</w:t>
      </w:r>
    </w:p>
    <w:p>
      <w:r>
        <w:rPr>
          <w:i/>
          <w:color w:val="0078D4"/>
          <w:sz w:val="18"/>
        </w:rPr>
        <w:t>Demo note: Use in Outlook Copilot: 'Summarise this thread and draft a holding response for Hadar's review'</w:t>
      </w:r>
    </w:p>
    <w:p/>
    <w:p>
      <w:r>
        <w:rPr>
          <w:b/>
          <w:color w:val="1F2D55"/>
          <w:sz w:val="20"/>
        </w:rPr>
        <w:t>From: James Whitmore (Portfolio Manager, FMR LLC) &lt;j.whitmore@fmr.com&gt;</w:t>
      </w:r>
    </w:p>
    <w:p>
      <w:pPr>
        <w:spacing w:before="0" w:after="20"/>
      </w:pPr>
      <w:r>
        <w:rPr>
          <w:b w:val="0"/>
          <w:color w:val="1A1A2E"/>
          <w:sz w:val="20"/>
        </w:rPr>
        <w:t>To: Hadar Caspit &lt;HadarC@ABSx62256373.OnMicrosoft.com&gt;</w:t>
      </w:r>
    </w:p>
    <w:p>
      <w:pPr>
        <w:spacing w:before="0" w:after="20"/>
      </w:pPr>
      <w:r>
        <w:rPr>
          <w:b w:val="0"/>
          <w:color w:val="1A1A2E"/>
          <w:sz w:val="20"/>
        </w:rPr>
        <w:t>Sent: Mon, 3 Mar 2025, 3:15 PM</w:t>
      </w:r>
    </w:p>
    <w:p>
      <w:pPr>
        <w:spacing w:before="0" w:after="20"/>
      </w:pPr>
      <w:r>
        <w:rPr>
          <w:b/>
          <w:color w:val="1F2D55"/>
          <w:sz w:val="20"/>
        </w:rPr>
        <w:t>Subject: Zava Group — FY2024 Results Follow-up and Zava Bank NPL Concerns</w:t>
      </w:r>
    </w:p>
    <w:p/>
    <w:p>
      <w:pPr>
        <w:spacing w:after="60"/>
      </w:pPr>
      <w:r>
        <w:rPr>
          <w:color w:val="1A1A2E"/>
          <w:sz w:val="20"/>
        </w:rPr>
        <w:t>Dear Ms. Caspit,</w:t>
      </w:r>
    </w:p>
    <w:p>
      <w:pPr>
        <w:spacing w:after="60"/>
      </w:pPr>
      <w:r>
        <w:rPr>
          <w:color w:val="1A1A2E"/>
          <w:sz w:val="20"/>
        </w:rPr>
        <w:t>FMR LLC currently holds approximately 3.2% of Zava Group's outstanding shares (Bursa Malaysia: ZAVA) valued at approximately MYR 910M.</w:t>
      </w:r>
    </w:p>
    <w:p>
      <w:pPr>
        <w:spacing w:after="60"/>
      </w:pPr>
      <w:r>
        <w:rPr>
          <w:color w:val="1A1A2E"/>
          <w:sz w:val="20"/>
        </w:rPr>
        <w:t>Following the FY2024 results announcement on 28 February 2025, I write to raise several investor concerns:</w:t>
      </w:r>
    </w:p>
    <w:p>
      <w:pPr>
        <w:spacing w:after="60"/>
      </w:pPr>
    </w:p>
    <w:p>
      <w:pPr>
        <w:spacing w:after="60"/>
      </w:pPr>
      <w:r>
        <w:rPr>
          <w:color w:val="1A1A2E"/>
          <w:sz w:val="20"/>
        </w:rPr>
        <w:t>1. ZAVA BANK NPL (Retail Personal): The FY2024 annual report discloses a 21.7% NPL ratio against BNM's 3.5% threshold. This is a material breach. Our credit analysts estimate MYR 750M–1.1B provision top-up may be required.</w:t>
      </w:r>
    </w:p>
    <w:p>
      <w:pPr>
        <w:spacing w:after="60"/>
      </w:pPr>
      <w:r>
        <w:rPr>
          <w:color w:val="1A1A2E"/>
          <w:sz w:val="20"/>
        </w:rPr>
        <w:t>2. CILEGON PLANT: Three BPOM enforcement notices in Q1 2025 suggest systemic EHS governance failure. What is the risk of permanent closure?</w:t>
      </w:r>
    </w:p>
    <w:p>
      <w:pPr>
        <w:spacing w:after="60"/>
      </w:pPr>
      <w:r>
        <w:rPr>
          <w:color w:val="1A1A2E"/>
          <w:sz w:val="20"/>
        </w:rPr>
        <w:t>3. RSPO SUSPENSION: Perkebunan Lestari (11,200 ha) remains RSPO suspended. With EUDR effective January 2026, what is the revenue at risk?</w:t>
      </w:r>
    </w:p>
    <w:p>
      <w:pPr>
        <w:spacing w:after="60"/>
      </w:pPr>
      <w:r>
        <w:rPr>
          <w:color w:val="1A1A2E"/>
          <w:sz w:val="20"/>
        </w:rPr>
        <w:t>4. GEARING: Net debt/EBITDA of 2.6x is above our internal comfort threshold of 2.0x.</w:t>
      </w:r>
    </w:p>
    <w:p>
      <w:pPr>
        <w:spacing w:after="60"/>
      </w:pPr>
    </w:p>
    <w:p>
      <w:pPr>
        <w:spacing w:after="60"/>
      </w:pPr>
      <w:r>
        <w:rPr>
          <w:color w:val="1A1A2E"/>
          <w:sz w:val="20"/>
        </w:rPr>
        <w:t>We request a private investor call at your earliest convenience. We would prefer to discuss before any further public disclosure.</w:t>
      </w:r>
    </w:p>
    <w:p>
      <w:pPr>
        <w:spacing w:after="60"/>
      </w:pPr>
      <w:r>
        <w:rPr>
          <w:color w:val="1A1A2E"/>
          <w:sz w:val="20"/>
        </w:rPr>
        <w:t>James Whitmore | Portfolio Manager | FMR LLC | Boston, MA</w:t>
      </w:r>
    </w:p>
    <w:p>
      <w:r>
        <w:rPr>
          <w:color w:val="6B7280"/>
          <w:sz w:val="16"/>
        </w:rPr>
        <w:t>————————————————————————————————————————————————————————————————————————————————</w:t>
      </w:r>
    </w:p>
    <w:p>
      <w:r>
        <w:rPr>
          <w:b/>
          <w:color w:val="1F2D55"/>
          <w:sz w:val="20"/>
        </w:rPr>
        <w:t>From: Hadar Caspit &lt;HadarC@ABSx62256373.OnMicrosoft.com&gt;</w:t>
      </w:r>
    </w:p>
    <w:p>
      <w:pPr>
        <w:spacing w:before="0" w:after="20"/>
      </w:pPr>
      <w:r>
        <w:rPr>
          <w:b w:val="0"/>
          <w:color w:val="1A1A2E"/>
          <w:sz w:val="20"/>
        </w:rPr>
        <w:t>To: Sasha Ouellet; Will Baxter; Omar Bouchard &lt;SashaO@ABSx62256373.OnMicrosoft.com; WillB@ABSx62256373.OnMicrosoft.com; OmarB@ABSx62256373.OnMicrosoft.com&gt;</w:t>
      </w:r>
    </w:p>
    <w:p>
      <w:pPr>
        <w:spacing w:before="0" w:after="20"/>
      </w:pPr>
      <w:r>
        <w:rPr>
          <w:b w:val="0"/>
          <w:color w:val="1A1A2E"/>
          <w:sz w:val="20"/>
        </w:rPr>
        <w:t>Sent: Mon, 3 Mar 2025, 5:30 PM</w:t>
      </w:r>
    </w:p>
    <w:p>
      <w:pPr>
        <w:spacing w:before="0" w:after="20"/>
      </w:pPr>
      <w:r>
        <w:rPr>
          <w:b/>
          <w:color w:val="1F2D55"/>
          <w:sz w:val="20"/>
        </w:rPr>
        <w:t>Subject: URGENT: FMR LLC Investor Query — All Four Issues</w:t>
      </w:r>
    </w:p>
    <w:p/>
    <w:p>
      <w:pPr>
        <w:spacing w:after="60"/>
      </w:pPr>
      <w:r>
        <w:rPr>
          <w:color w:val="1A1A2E"/>
          <w:sz w:val="20"/>
        </w:rPr>
        <w:t>Sasha, Will, Omar —</w:t>
      </w:r>
    </w:p>
    <w:p>
      <w:pPr>
        <w:spacing w:after="60"/>
      </w:pPr>
      <w:r>
        <w:rPr>
          <w:color w:val="1A1A2E"/>
          <w:sz w:val="20"/>
        </w:rPr>
        <w:t>FMR (3.2% shareholder, MYR 910M stake) has raised all four of our critical issues in one email. This is serious.</w:t>
      </w:r>
    </w:p>
    <w:p>
      <w:pPr>
        <w:spacing w:after="60"/>
      </w:pPr>
      <w:r>
        <w:rPr>
          <w:color w:val="1A1A2E"/>
          <w:sz w:val="20"/>
        </w:rPr>
        <w:t>FMR has significant influence — if they decide to reduce their position, we could see 5-8% share price pressure.</w:t>
      </w:r>
    </w:p>
    <w:p>
      <w:pPr>
        <w:spacing w:after="60"/>
      </w:pPr>
      <w:r>
        <w:rPr>
          <w:color w:val="1A1A2E"/>
          <w:sz w:val="20"/>
        </w:rPr>
        <w:t>I need to respond within 48 hours. Can each of you provide me a 3-bullet summary of your area:</w:t>
      </w:r>
    </w:p>
    <w:p>
      <w:pPr>
        <w:spacing w:after="60"/>
      </w:pPr>
      <w:r>
        <w:rPr>
          <w:color w:val="1A1A2E"/>
          <w:sz w:val="20"/>
        </w:rPr>
        <w:t xml:space="preserve">  • Sasha: Cilegon outlook and Perkebunan Lestari EUDR risk</w:t>
      </w:r>
    </w:p>
    <w:p>
      <w:pPr>
        <w:spacing w:after="60"/>
      </w:pPr>
      <w:r>
        <w:rPr>
          <w:color w:val="1A1A2E"/>
          <w:sz w:val="20"/>
        </w:rPr>
        <w:t xml:space="preserve">  • Will: Any disclosure constraints on what I can say about BNM discussions</w:t>
      </w:r>
    </w:p>
    <w:p>
      <w:pPr>
        <w:spacing w:after="60"/>
      </w:pPr>
      <w:r>
        <w:rPr>
          <w:color w:val="1A1A2E"/>
          <w:sz w:val="20"/>
        </w:rPr>
        <w:t xml:space="preserve">  • Omar: NPL provision estimate and gearing trajectory</w:t>
      </w:r>
    </w:p>
    <w:p>
      <w:pPr>
        <w:spacing w:after="60"/>
      </w:pPr>
      <w:r>
        <w:rPr>
          <w:color w:val="1A1A2E"/>
          <w:sz w:val="20"/>
        </w:rPr>
        <w:t>I will NOT schedule the call until Legal clears the content. Will — advise please.</w:t>
      </w:r>
    </w:p>
    <w:p>
      <w:pPr>
        <w:spacing w:after="60"/>
      </w:pPr>
      <w:r>
        <w:rPr>
          <w:color w:val="1A1A2E"/>
          <w:sz w:val="20"/>
        </w:rPr>
        <w:t>Hadar</w:t>
      </w:r>
    </w:p>
    <w:p>
      <w:r>
        <w:rPr>
          <w:color w:val="6B7280"/>
          <w:sz w:val="16"/>
        </w:rPr>
        <w:t>————————————————————————————————————————————————————————————————————————————————</w:t>
      </w:r>
    </w:p>
    <w:p>
      <w:r>
        <w:rPr>
          <w:b/>
          <w:color w:val="1F2D55"/>
          <w:sz w:val="20"/>
        </w:rPr>
        <w:t>From: Will Baxter &lt;WillB@ABSx62256373.OnMicrosoft.com&gt;</w:t>
      </w:r>
    </w:p>
    <w:p>
      <w:pPr>
        <w:spacing w:before="0" w:after="20"/>
      </w:pPr>
      <w:r>
        <w:rPr>
          <w:b w:val="0"/>
          <w:color w:val="1A1A2E"/>
          <w:sz w:val="20"/>
        </w:rPr>
        <w:t>To: HadarC@ABSx62256373.OnMicrosoft.com &lt;HadarC@ABSx62256373.OnMicrosoft.com&gt;</w:t>
      </w:r>
    </w:p>
    <w:p>
      <w:pPr>
        <w:spacing w:before="0" w:after="20"/>
      </w:pPr>
      <w:r>
        <w:rPr>
          <w:b w:val="0"/>
          <w:color w:val="1A1A2E"/>
          <w:sz w:val="20"/>
        </w:rPr>
        <w:t>Sent: Tue, 4 Mar 2025, 9:00 AM</w:t>
      </w:r>
    </w:p>
    <w:p>
      <w:pPr>
        <w:spacing w:before="0" w:after="20"/>
      </w:pPr>
      <w:r>
        <w:rPr>
          <w:b/>
          <w:color w:val="1F2D55"/>
          <w:sz w:val="20"/>
        </w:rPr>
        <w:t>Subject: RE: FMR Query — Legal Clearance Guidance</w:t>
      </w:r>
    </w:p>
    <w:p/>
    <w:p>
      <w:pPr>
        <w:spacing w:after="60"/>
      </w:pPr>
      <w:r>
        <w:rPr>
          <w:color w:val="1A1A2E"/>
          <w:sz w:val="20"/>
        </w:rPr>
        <w:t>Hadar,</w:t>
      </w:r>
    </w:p>
    <w:p>
      <w:pPr>
        <w:spacing w:after="60"/>
      </w:pPr>
      <w:r>
        <w:rPr>
          <w:color w:val="1A1A2E"/>
          <w:sz w:val="20"/>
        </w:rPr>
        <w:t>Legal guidance for the FMR response:</w:t>
      </w:r>
    </w:p>
    <w:p>
      <w:pPr>
        <w:spacing w:after="60"/>
      </w:pPr>
      <w:r>
        <w:rPr>
          <w:color w:val="1A1A2E"/>
          <w:sz w:val="20"/>
        </w:rPr>
        <w:t xml:space="preserve">  1. MAD/Insider Trading: Do NOT discuss any undisclosed material information. The BNM supervisory notice is confidential until BNM issues a public directive. Stick to what is in the published annual report.</w:t>
      </w:r>
    </w:p>
    <w:p>
      <w:pPr>
        <w:spacing w:after="60"/>
      </w:pPr>
      <w:r>
        <w:rPr>
          <w:color w:val="1A1A2E"/>
          <w:sz w:val="20"/>
        </w:rPr>
        <w:t xml:space="preserve">  2. Private call is acceptable, but must have an IR chaperone and be logged under our Fair Disclosure policy.</w:t>
      </w:r>
    </w:p>
    <w:p>
      <w:pPr>
        <w:spacing w:after="60"/>
      </w:pPr>
      <w:r>
        <w:rPr>
          <w:color w:val="1A1A2E"/>
          <w:sz w:val="20"/>
        </w:rPr>
        <w:t xml:space="preserve">  3. You may confirm that a Remediation Plan has been submitted to BNM without disclosing its content.</w:t>
      </w:r>
    </w:p>
    <w:p>
      <w:pPr>
        <w:spacing w:after="60"/>
      </w:pPr>
      <w:r>
        <w:rPr>
          <w:color w:val="1A1A2E"/>
          <w:sz w:val="20"/>
        </w:rPr>
        <w:t xml:space="preserve">  4. For RSPO/Cilegon: you may refer to the published sustainability report disclosures.</w:t>
      </w:r>
    </w:p>
    <w:p>
      <w:pPr>
        <w:spacing w:after="60"/>
      </w:pPr>
      <w:r>
        <w:rPr>
          <w:color w:val="1A1A2E"/>
          <w:sz w:val="20"/>
        </w:rPr>
        <w:t>Draft response should be reviewed by me before sending. Give me your draft and I'll turn it around in 2 hours.</w:t>
      </w:r>
    </w:p>
    <w:p>
      <w:pPr>
        <w:spacing w:after="60"/>
      </w:pPr>
      <w:r>
        <w:rPr>
          <w:color w:val="1A1A2E"/>
          <w:sz w:val="20"/>
        </w:rPr>
        <w:t>Will</w:t>
      </w:r>
    </w:p>
    <w:p>
      <w:r>
        <w:rPr>
          <w:color w:val="6B7280"/>
          <w:sz w:val="16"/>
        </w:rPr>
        <w:t>————————————————————————————————————————————————————————————————————————————————</w:t>
      </w:r>
    </w:p>
    <w:p>
      <w:r>
        <w:rPr>
          <w:b/>
          <w:color w:val="1F2D55"/>
          <w:sz w:val="20"/>
        </w:rPr>
        <w:t>From: Omar Bouchard &lt;OmarB@ABSx62256373.OnMicrosoft.com&gt;</w:t>
      </w:r>
    </w:p>
    <w:p>
      <w:pPr>
        <w:spacing w:before="0" w:after="20"/>
      </w:pPr>
      <w:r>
        <w:rPr>
          <w:b w:val="0"/>
          <w:color w:val="1A1A2E"/>
          <w:sz w:val="20"/>
        </w:rPr>
        <w:t>To: HadarC@ABSx62256373.OnMicrosoft.com &lt;HadarC@ABSx62256373.OnMicrosoft.com&gt;</w:t>
      </w:r>
    </w:p>
    <w:p>
      <w:pPr>
        <w:spacing w:before="0" w:after="20"/>
      </w:pPr>
      <w:r>
        <w:rPr>
          <w:b w:val="0"/>
          <w:color w:val="1A1A2E"/>
          <w:sz w:val="20"/>
        </w:rPr>
        <w:t>Sent: Tue, 4 Mar 2025, 10:30 AM</w:t>
      </w:r>
    </w:p>
    <w:p>
      <w:pPr>
        <w:spacing w:before="0" w:after="20"/>
      </w:pPr>
      <w:r>
        <w:rPr>
          <w:b/>
          <w:color w:val="1F2D55"/>
          <w:sz w:val="20"/>
        </w:rPr>
        <w:t>Subject: RE: FMR Query — Risk inputs</w:t>
      </w:r>
    </w:p>
    <w:p/>
    <w:p>
      <w:pPr>
        <w:spacing w:after="60"/>
      </w:pPr>
      <w:r>
        <w:rPr>
          <w:color w:val="1A1A2E"/>
          <w:sz w:val="20"/>
        </w:rPr>
        <w:t>Hadar,</w:t>
      </w:r>
    </w:p>
    <w:p>
      <w:pPr>
        <w:spacing w:after="60"/>
      </w:pPr>
      <w:r>
        <w:rPr>
          <w:color w:val="1A1A2E"/>
          <w:sz w:val="20"/>
        </w:rPr>
        <w:t>Risk inputs for your FMR response:</w:t>
      </w:r>
    </w:p>
    <w:p>
      <w:pPr>
        <w:spacing w:after="60"/>
      </w:pPr>
      <w:r>
        <w:rPr>
          <w:color w:val="1A1A2E"/>
          <w:sz w:val="20"/>
        </w:rPr>
        <w:t xml:space="preserve">  • NPL provision: Our internal stress test (Base case) projects additional provision of MYR 480-620M over 6 quarters. FMR's estimate of MYR 750M-1.1B is high-end stress scenario — defensible to push back on this.</w:t>
      </w:r>
    </w:p>
    <w:p>
      <w:pPr>
        <w:spacing w:after="60"/>
      </w:pPr>
      <w:r>
        <w:rPr>
          <w:color w:val="1A1A2E"/>
          <w:sz w:val="20"/>
        </w:rPr>
        <w:t xml:space="preserve">  • Gearing: Net debt/EBITDA 2.6x is elevated but we are committed to 2.2x by FY2026 via asset recycling (Median City Office ID sale ~MYR 140M) + FCF generation.</w:t>
      </w:r>
    </w:p>
    <w:p>
      <w:pPr>
        <w:spacing w:after="60"/>
      </w:pPr>
      <w:r>
        <w:rPr>
          <w:color w:val="1A1A2E"/>
          <w:sz w:val="20"/>
        </w:rPr>
        <w:t xml:space="preserve">  • Cilegon closure risk: Internal assessment is LOW-MEDIUM. All three notices have corrective action plans in progress. Portable ETP unit resolves the effluent issue. EHS Officer hired (Pak Budi, starting 1 April).</w:t>
      </w:r>
    </w:p>
    <w:p>
      <w:pPr>
        <w:spacing w:after="60"/>
      </w:pPr>
      <w:r>
        <w:rPr>
          <w:color w:val="1A1A2E"/>
          <w:sz w:val="20"/>
        </w:rPr>
        <w:t xml:space="preserve">  • EUDR / Lestari: Revenue at risk if not resolved by Jan 2026 = approx MYR 420M (Lestari CPO at MYR 4,200/MT × 100,000 MT annual). Remediation plan with RSPO submitted — decision expected Q3 2025.</w:t>
      </w:r>
    </w:p>
    <w:p>
      <w:pPr>
        <w:spacing w:after="60"/>
      </w:pPr>
      <w:r>
        <w:rPr>
          <w:color w:val="1A1A2E"/>
          <w:sz w:val="20"/>
        </w:rPr>
        <w:t>Omar</w:t>
      </w:r>
    </w:p>
    <w:p>
      <w:r>
        <w:rPr>
          <w:color w:val="6B7280"/>
          <w:sz w:val="16"/>
        </w:rPr>
        <w:t>————————————————————————————————————————————————————————————————————————————————</w:t>
      </w:r>
    </w:p>
    <w:p>
      <w:r>
        <w:rPr>
          <w:b/>
          <w:color w:val="1F2D55"/>
          <w:sz w:val="20"/>
        </w:rPr>
        <w:t>From: Sasha Ouellet &lt;SashaO@ABSx62256373.OnMicrosoft.com&gt;</w:t>
      </w:r>
    </w:p>
    <w:p>
      <w:pPr>
        <w:spacing w:before="0" w:after="20"/>
      </w:pPr>
      <w:r>
        <w:rPr>
          <w:b w:val="0"/>
          <w:color w:val="1A1A2E"/>
          <w:sz w:val="20"/>
        </w:rPr>
        <w:t>To: HadarC@ABSx62256373.OnMicrosoft.com &lt;HadarC@ABSx62256373.OnMicrosoft.com&gt;</w:t>
      </w:r>
    </w:p>
    <w:p>
      <w:pPr>
        <w:spacing w:before="0" w:after="20"/>
      </w:pPr>
      <w:r>
        <w:rPr>
          <w:b w:val="0"/>
          <w:color w:val="1A1A2E"/>
          <w:sz w:val="20"/>
        </w:rPr>
        <w:t>Sent: Tue, 4 Mar 2025, 11:45 AM</w:t>
      </w:r>
    </w:p>
    <w:p>
      <w:pPr>
        <w:spacing w:before="0" w:after="20"/>
      </w:pPr>
      <w:r>
        <w:rPr>
          <w:b/>
          <w:color w:val="1F2D55"/>
          <w:sz w:val="20"/>
        </w:rPr>
        <w:t>Subject: RE: FMR Query — CSO inputs on Cilegon &amp; Perkebunan Lestari</w:t>
      </w:r>
    </w:p>
    <w:p/>
    <w:p>
      <w:pPr>
        <w:spacing w:after="60"/>
      </w:pPr>
      <w:r>
        <w:rPr>
          <w:color w:val="1A1A2E"/>
          <w:sz w:val="20"/>
        </w:rPr>
        <w:t>Hadar,</w:t>
      </w:r>
    </w:p>
    <w:p>
      <w:pPr>
        <w:spacing w:after="60"/>
      </w:pPr>
      <w:r>
        <w:rPr>
          <w:color w:val="1A1A2E"/>
          <w:sz w:val="20"/>
        </w:rPr>
        <w:t>My inputs:</w:t>
      </w:r>
    </w:p>
    <w:p>
      <w:pPr>
        <w:spacing w:after="60"/>
      </w:pPr>
      <w:r>
        <w:rPr>
          <w:color w:val="1A1A2E"/>
          <w:sz w:val="20"/>
        </w:rPr>
        <w:t xml:space="preserve">  • Cilegon: All three notices are administrative/technical in nature — not a fundamental process safety failure. Portable ETP operational. BPOM joint inspection requested for April. We expect closure of all notices by end of Q2.</w:t>
      </w:r>
    </w:p>
    <w:p>
      <w:pPr>
        <w:spacing w:after="60"/>
      </w:pPr>
      <w:r>
        <w:rPr>
          <w:color w:val="1A1A2E"/>
          <w:sz w:val="20"/>
        </w:rPr>
        <w:t xml:space="preserve">  • Perkebunan Lestari RSPO: Remediation plan submitted to RSPO in January. Key milestone: independent peat depth re-survey scheduled May 2025. If results are favourable (peat &lt;3m in disputed areas), certification can be reinstated by August 2025.</w:t>
      </w:r>
    </w:p>
    <w:p>
      <w:pPr>
        <w:spacing w:after="60"/>
      </w:pPr>
      <w:r>
        <w:rPr>
          <w:color w:val="1A1A2E"/>
          <w:sz w:val="20"/>
        </w:rPr>
        <w:t xml:space="preserve">  • EUDR strategy: Regardless of Lestari RSPO outcome, we have contracted an EU-certified EUDR due diligence service provider (Forest500 partner) to map all supply chains. We will be EUDR compliant for remaining 11 estates by October 2025.</w:t>
      </w:r>
    </w:p>
    <w:p>
      <w:pPr>
        <w:spacing w:after="60"/>
      </w:pPr>
      <w:r>
        <w:rPr>
          <w:color w:val="1A1A2E"/>
          <w:sz w:val="20"/>
        </w:rPr>
        <w:t>Sasha</w:t>
      </w:r>
    </w:p>
    <w:p>
      <w:r>
        <w:rPr>
          <w:color w:val="6B7280"/>
          <w:sz w:val="16"/>
        </w:rPr>
        <w:t>————————————————————————————————————————————————————————————————————————————————</w:t>
      </w:r>
    </w:p>
    <w:p>
      <w:r>
        <w:rPr>
          <w:b/>
          <w:color w:val="1F2D55"/>
          <w:sz w:val="20"/>
        </w:rPr>
        <w:t>From: Hadar Caspit &lt;HadarC@ABSx62256373.OnMicrosoft.com&gt;</w:t>
      </w:r>
    </w:p>
    <w:p>
      <w:pPr>
        <w:spacing w:before="0" w:after="20"/>
      </w:pPr>
      <w:r>
        <w:rPr>
          <w:b w:val="0"/>
          <w:color w:val="1A1A2E"/>
          <w:sz w:val="20"/>
        </w:rPr>
        <w:t>To: James Whitmore &lt;j.whitmore@fmr.com&gt;</w:t>
      </w:r>
    </w:p>
    <w:p>
      <w:pPr>
        <w:spacing w:before="0" w:after="20"/>
      </w:pPr>
      <w:r>
        <w:rPr>
          <w:b w:val="0"/>
          <w:color w:val="1A1A2E"/>
          <w:sz w:val="20"/>
        </w:rPr>
        <w:t>Sent: Wed, 5 Mar 2025, 2:00 PM</w:t>
      </w:r>
    </w:p>
    <w:p>
      <w:pPr>
        <w:spacing w:before="0" w:after="20"/>
      </w:pPr>
      <w:r>
        <w:rPr>
          <w:b/>
          <w:color w:val="1F2D55"/>
          <w:sz w:val="20"/>
        </w:rPr>
        <w:t>Subject: RE: Zava Group — Response to FY2024 Investor Query</w:t>
      </w:r>
    </w:p>
    <w:p/>
    <w:p>
      <w:pPr>
        <w:spacing w:after="60"/>
      </w:pPr>
      <w:r>
        <w:rPr>
          <w:color w:val="1A1A2E"/>
          <w:sz w:val="20"/>
        </w:rPr>
        <w:t>Dear James,</w:t>
      </w:r>
    </w:p>
    <w:p>
      <w:pPr>
        <w:spacing w:after="60"/>
      </w:pPr>
      <w:r>
        <w:rPr>
          <w:color w:val="1A1A2E"/>
          <w:sz w:val="20"/>
        </w:rPr>
        <w:t>Thank you for your detailed questions — we appreciate FMR's continued engagement as a significant shareholder.</w:t>
      </w:r>
    </w:p>
    <w:p>
      <w:pPr>
        <w:spacing w:after="60"/>
      </w:pPr>
      <w:r>
        <w:rPr>
          <w:color w:val="1A1A2E"/>
          <w:sz w:val="20"/>
        </w:rPr>
        <w:t>Please find below our responses to each concern raised:</w:t>
      </w:r>
    </w:p>
    <w:p>
      <w:pPr>
        <w:spacing w:after="60"/>
      </w:pPr>
    </w:p>
    <w:p>
      <w:pPr>
        <w:spacing w:after="60"/>
      </w:pPr>
      <w:r>
        <w:rPr>
          <w:color w:val="1A1A2E"/>
          <w:sz w:val="20"/>
        </w:rPr>
        <w:t>1. ZAVA BANK NPL: The 21.7% retail personal loan NPL ratio is disclosed in full in our FY2024 Annual Report. Zava Bank has submitted a comprehensive Remediation Plan to BNM. Measures include a portfolio restructuring initiative and enhanced credit scoring model implementation by Q2 FY2025. We are on track to reduce the NPL ratio materially through FY2025-2026. Additional provisioning has been appropriately reflected in our FY2024 accounts.</w:t>
      </w:r>
    </w:p>
    <w:p>
      <w:pPr>
        <w:spacing w:after="60"/>
      </w:pPr>
    </w:p>
    <w:p>
      <w:pPr>
        <w:spacing w:after="60"/>
      </w:pPr>
      <w:r>
        <w:rPr>
          <w:color w:val="1A1A2E"/>
          <w:sz w:val="20"/>
        </w:rPr>
        <w:t>2. CILEGON: All three enforcement notices have corrective action plans in place and progress is on track. We are targeting full closure of all notices by end of Q2 FY2025. The risk of permanent closure is low — these are technical compliance matters, not fundamental process safety failures.</w:t>
      </w:r>
    </w:p>
    <w:p>
      <w:pPr>
        <w:spacing w:after="60"/>
      </w:pPr>
    </w:p>
    <w:p>
      <w:pPr>
        <w:spacing w:after="60"/>
      </w:pPr>
      <w:r>
        <w:rPr>
          <w:color w:val="1A1A2E"/>
          <w:sz w:val="20"/>
        </w:rPr>
        <w:t>3. PERKEBUNAN LESTARI RSPO: A formal remediation plan has been submitted to RSPO. An independent peat depth survey is scheduled for May 2025. We expect to provide a substantive update by Q3 FY2025. For EUDR, Zava Agribusiness has engaged a certified compliance partner and all remaining 11 estates will be EUDR compliant by October 2025.</w:t>
      </w:r>
    </w:p>
    <w:p>
      <w:pPr>
        <w:spacing w:after="60"/>
      </w:pPr>
    </w:p>
    <w:p>
      <w:pPr>
        <w:spacing w:after="60"/>
      </w:pPr>
      <w:r>
        <w:rPr>
          <w:color w:val="1A1A2E"/>
          <w:sz w:val="20"/>
        </w:rPr>
        <w:t>4. GEARING: We are targeting Net Debt/EBITDA of 2.2x by FY2026 through asset recycling and cash flow generation. No equity issuance is planned for Zava Group Holdings at this stage.</w:t>
      </w:r>
    </w:p>
    <w:p>
      <w:pPr>
        <w:spacing w:after="60"/>
      </w:pPr>
    </w:p>
    <w:p>
      <w:pPr>
        <w:spacing w:after="60"/>
      </w:pPr>
      <w:r>
        <w:rPr>
          <w:color w:val="1A1A2E"/>
          <w:sz w:val="20"/>
        </w:rPr>
        <w:t>I would be pleased to host a private investor call. Please confirm your availability for week commencing 17 March 2025.</w:t>
      </w:r>
    </w:p>
    <w:p>
      <w:pPr>
        <w:spacing w:after="60"/>
      </w:pPr>
      <w:r>
        <w:rPr>
          <w:color w:val="1A1A2E"/>
          <w:sz w:val="20"/>
        </w:rPr>
        <w:t>Hadar Caspit | Group CFO | Zava Group Holdings Berhad | HadarC@ABSx62256373.OnMicrosoft.com</w:t>
      </w:r>
    </w:p>
    <w:p>
      <w:r>
        <w:rPr>
          <w:color w:val="6B7280"/>
          <w:sz w:val="16"/>
        </w:rPr>
        <w:t>————————————————————————————————————————————————————————————————————————————————</w:t>
      </w:r>
    </w:p>
    <w:p>
      <w:pPr>
        <w:shd w:val="clear" w:color="auto" w:fill="EEF4FF"/>
      </w:pPr>
      <w:r>
        <w:rPr>
          <w:b/>
          <w:color w:val="1F2D55"/>
          <w:sz w:val="20"/>
        </w:rPr>
        <w:t>From: James Whitmore &lt;j.whitmore@fmr.com&gt;</w:t>
      </w:r>
    </w:p>
    <w:p>
      <w:pPr>
        <w:spacing w:before="0" w:after="20"/>
      </w:pPr>
      <w:r>
        <w:rPr>
          <w:b w:val="0"/>
          <w:color w:val="1A1A2E"/>
          <w:sz w:val="20"/>
        </w:rPr>
        <w:t>To: HadarC@ABSx62256373.OnMicrosoft.com &lt;HadarC@ABSx62256373.OnMicrosoft.com&gt;</w:t>
      </w:r>
    </w:p>
    <w:p>
      <w:pPr>
        <w:spacing w:before="0" w:after="20"/>
      </w:pPr>
      <w:r>
        <w:rPr>
          <w:b w:val="0"/>
          <w:color w:val="1A1A2E"/>
          <w:sz w:val="20"/>
        </w:rPr>
        <w:t>Sent: Thu, 6 Mar 2025, 8:00 AM</w:t>
      </w:r>
    </w:p>
    <w:p>
      <w:pPr>
        <w:spacing w:before="0" w:after="20"/>
      </w:pPr>
      <w:r>
        <w:rPr>
          <w:b/>
          <w:color w:val="1F2D55"/>
          <w:sz w:val="20"/>
        </w:rPr>
        <w:t>Subject: RE: Zava Group — Investor Call Confirmed</w:t>
      </w:r>
    </w:p>
    <w:p/>
    <w:p>
      <w:pPr>
        <w:spacing w:after="60"/>
      </w:pPr>
      <w:r>
        <w:rPr>
          <w:color w:val="1A1A2E"/>
          <w:sz w:val="20"/>
        </w:rPr>
        <w:t>Dear Ms. Caspit,</w:t>
      </w:r>
    </w:p>
    <w:p>
      <w:pPr>
        <w:spacing w:after="60"/>
      </w:pPr>
      <w:r>
        <w:rPr>
          <w:color w:val="1A1A2E"/>
          <w:sz w:val="20"/>
        </w:rPr>
        <w:t>Thank you for the comprehensive response. We are satisfied with the transparency.</w:t>
      </w:r>
    </w:p>
    <w:p>
      <w:pPr>
        <w:spacing w:after="60"/>
      </w:pPr>
      <w:r>
        <w:rPr>
          <w:color w:val="1A1A2E"/>
          <w:sz w:val="20"/>
        </w:rPr>
        <w:t>We confirm a private investor call on Tuesday, 18 March 2025 at 3:00 PM KL time (8:00 AM Boston). Please send the dial-in details.</w:t>
      </w:r>
    </w:p>
    <w:p>
      <w:pPr>
        <w:spacing w:after="60"/>
      </w:pPr>
      <w:r>
        <w:rPr>
          <w:color w:val="1A1A2E"/>
          <w:sz w:val="20"/>
        </w:rPr>
        <w:t>We may bring our Head of Emerging Markets Equities, Dr. Sarah Chen, to the call.</w:t>
      </w:r>
    </w:p>
    <w:p>
      <w:pPr>
        <w:spacing w:after="60"/>
      </w:pPr>
      <w:r>
        <w:rPr>
          <w:color w:val="1A1A2E"/>
          <w:sz w:val="20"/>
        </w:rPr>
        <w:t>James</w:t>
      </w:r>
    </w:p>
    <w:p>
      <w:r>
        <w:rPr>
          <w:color w:val="6B7280"/>
          <w:sz w:val="16"/>
        </w:rPr>
        <w:t>————————————————————————————————————————————————————————————————————————————————</w:t>
      </w:r>
    </w:p>
    <w:sectPr w:rsidR="00FC693F" w:rsidRPr="0006063C" w:rsidSect="00034616">
      <w:pgSz w:w="12240" w:h="15840"/>
      <w:pgMar w:top="1247" w:right="1417" w:bottom="124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