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egoe UI" w:hAnsi="Segoe UI"/>
          <w:b/>
          <w:color w:val="1F2D55"/>
          <w:sz w:val="44"/>
        </w:rPr>
        <w:t>DANAMAS CAPITAL BERHAD</w:t>
      </w:r>
    </w:p>
    <w:p>
      <w:pPr>
        <w:jc w:val="center"/>
      </w:pPr>
      <w:r>
        <w:rPr>
          <w:rFonts w:ascii="Segoe UI" w:hAnsi="Segoe UI"/>
          <w:color w:val="0078D4"/>
          <w:sz w:val="26"/>
        </w:rPr>
        <w:t>Strategic Portfolio Review &amp; Government-Linked Investment Strategy | FY2025–2030</w:t>
      </w:r>
    </w:p>
    <w:p/>
    <w:p>
      <w:pPr>
        <w:spacing w:before="280" w:after="120"/>
      </w:pPr>
      <w:r>
        <w:rPr>
          <w:rFonts w:ascii="Segoe UI" w:hAnsi="Segoe UI"/>
          <w:b/>
          <w:color w:val="1F2D55"/>
          <w:sz w:val="32"/>
        </w:rPr>
        <w:t>1. OVERVIEW &amp; MANDATE</w:t>
      </w:r>
    </w:p>
    <w:p>
      <w:pPr>
        <w:spacing w:after="120"/>
      </w:pPr>
      <w:r>
        <w:rPr>
          <w:rFonts w:ascii="Segoe UI" w:hAnsi="Segoe UI"/>
          <w:sz w:val="20"/>
        </w:rPr>
        <w:t>Danamas Capital Berhad (DCB) is a government-linked investment company (GLIC) owned 100% by the Ministry of Finance Malaysia. DCB manages a strategic investment portfolio of MYR 284 billion (book value) across 9 portfolio companies and 3 investment funds. DCB's mandate is threefold: (1) generate sustainable financial returns to fund government fiscal obligations, (2) advance Malaysia's economic transformation agenda through strategic investments, and (3) drive corporate governance best practice across the GLC ecosystem.</w:t>
      </w:r>
    </w:p>
    <w:p>
      <w:pPr>
        <w:spacing w:after="120"/>
      </w:pPr>
      <w:r>
        <w:rPr>
          <w:rFonts w:ascii="Segoe UI" w:hAnsi="Segoe UI"/>
          <w:sz w:val="20"/>
        </w:rPr>
        <w:t>FY2024 Performance: DCB delivered total portfolio return of 8.4% (MYR 23.8B), comprising dividends (MYR 12.4B), realised capital gains (MYR 6.8B), and unrealised portfolio appreciation (MYR 4.6B). Dividend payout to MOF: MYR 9.8B.</w:t>
      </w:r>
    </w:p>
    <w:p>
      <w:pPr>
        <w:spacing w:after="80"/>
      </w:pPr>
      <w:r>
        <w:rPr>
          <w:color w:val="CCCCD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rFonts w:ascii="Segoe UI" w:hAnsi="Segoe UI"/>
          <w:b/>
          <w:color w:val="1F2D55"/>
          <w:sz w:val="32"/>
        </w:rPr>
        <w:t>2. PORTFOLIO REVIEW FY2024-FY2025</w:t>
      </w:r>
    </w:p>
    <w:p>
      <w:pPr>
        <w:spacing w:before="160" w:after="120"/>
      </w:pPr>
      <w:r>
        <w:rPr>
          <w:rFonts w:ascii="Segoe UI" w:hAnsi="Segoe UI"/>
          <w:b/>
          <w:color w:val="1F2D55"/>
          <w:sz w:val="26"/>
        </w:rPr>
        <w:t>2.1 Performing Investments</w:t>
      </w:r>
    </w:p>
    <w:p>
      <w:pPr>
        <w:pStyle w:val="ListBullet"/>
        <w:spacing w:after="80"/>
      </w:pPr>
      <w:r>
        <w:rPr>
          <w:rFonts w:ascii="Segoe UI" w:hAnsi="Segoe UI"/>
          <w:b/>
          <w:sz w:val="20"/>
        </w:rPr>
        <w:t xml:space="preserve">Meridian Infrastructure (Toll + Ports): </w:t>
      </w:r>
      <w:r>
        <w:rPr>
          <w:rFonts w:ascii="Segoe UI" w:hAnsi="Segoe UI"/>
          <w:sz w:val="20"/>
        </w:rPr>
        <w:t>Core performer. MYR 12.4B market cap. 30-year concessions provide predictable cash flows. Concession extension negotiations ongoing for 3 toll roads (expiry 2028-2031). DCB's strategy: hold and optimise</w:t>
      </w:r>
    </w:p>
    <w:p>
      <w:pPr>
        <w:pStyle w:val="ListBullet"/>
        <w:spacing w:after="80"/>
      </w:pPr>
      <w:r>
        <w:rPr>
          <w:rFonts w:ascii="Segoe UI" w:hAnsi="Segoe UI"/>
          <w:b/>
          <w:sz w:val="20"/>
        </w:rPr>
        <w:t xml:space="preserve">Synergy Utility Bhd (Water + Power): </w:t>
      </w:r>
      <w:r>
        <w:rPr>
          <w:rFonts w:ascii="Segoe UI" w:hAnsi="Segoe UI"/>
          <w:sz w:val="20"/>
        </w:rPr>
        <w:t>Regulated utility — stable returns. Undergoing restructuring: water and power arms to be separated into two listed entities by FY2026 (Synergy Water and Synergy Energy). DCB retains 100% in both.</w:t>
      </w:r>
    </w:p>
    <w:p>
      <w:pPr>
        <w:pStyle w:val="ListBullet"/>
        <w:spacing w:after="80"/>
      </w:pPr>
      <w:r>
        <w:rPr>
          <w:rFonts w:ascii="Segoe UI" w:hAnsi="Segoe UI"/>
          <w:b/>
          <w:sz w:val="20"/>
        </w:rPr>
        <w:t xml:space="preserve">GreenPower Holdings (Renewables): </w:t>
      </w:r>
      <w:r>
        <w:rPr>
          <w:rFonts w:ascii="Segoe UI" w:hAnsi="Segoe UI"/>
          <w:sz w:val="20"/>
        </w:rPr>
        <w:t>Growth asset. 2.8GW renewable capacity (solar + hydro). National RE100 target is tailwind. Exploring PPA (Power Purchase Agreement) for 1.2GW with data centre operators.</w:t>
      </w:r>
    </w:p>
    <w:p>
      <w:pPr>
        <w:pStyle w:val="ListBullet"/>
        <w:spacing w:after="80"/>
      </w:pPr>
      <w:r>
        <w:rPr>
          <w:rFonts w:ascii="Segoe UI" w:hAnsi="Segoe UI"/>
          <w:b/>
          <w:sz w:val="20"/>
        </w:rPr>
        <w:t xml:space="preserve">TechNex MY Bhd (Technology): </w:t>
      </w:r>
      <w:r>
        <w:rPr>
          <w:rFonts w:ascii="Segoe UI" w:hAnsi="Segoe UI"/>
          <w:sz w:val="20"/>
        </w:rPr>
        <w:t>SPAC merger with CODA Technologies under negotiation. Post-merger entity to be re-listed on KLSE Main Market. Target: MYR 5.2B market cap post-listing.</w:t>
      </w:r>
    </w:p>
    <w:p>
      <w:pPr>
        <w:spacing w:before="160" w:after="120"/>
      </w:pPr>
      <w:r>
        <w:rPr>
          <w:rFonts w:ascii="Segoe UI" w:hAnsi="Segoe UI"/>
          <w:b/>
          <w:color w:val="1F2D55"/>
          <w:sz w:val="26"/>
        </w:rPr>
        <w:t>2.2 Underperforming / At-Risk Investments</w:t>
      </w:r>
    </w:p>
    <w:p>
      <w:pPr>
        <w:pStyle w:val="ListBullet"/>
        <w:spacing w:after="80"/>
      </w:pPr>
      <w:r>
        <w:rPr>
          <w:rFonts w:ascii="Segoe UI" w:hAnsi="Segoe UI"/>
          <w:b/>
          <w:sz w:val="20"/>
        </w:rPr>
        <w:t xml:space="preserve">Citra Housing Trust (Affordable Housing): </w:t>
      </w:r>
      <w:r>
        <w:rPr>
          <w:rFonts w:ascii="Segoe UI" w:hAnsi="Segoe UI"/>
          <w:sz w:val="20"/>
        </w:rPr>
        <w:t>Loss-making: MYR 80M net loss FY2024. Root cause: construction costs +38% vs 2020 budget baseline; government-mandated selling price frozen. MYR 800M recapitalisation approved by MOF March 2025. New CEO (Nur Azlina Mohd) appointed Feb 2025.</w:t>
      </w:r>
    </w:p>
    <w:p>
      <w:pPr>
        <w:pStyle w:val="ListBullet"/>
        <w:spacing w:after="80"/>
      </w:pPr>
      <w:r>
        <w:rPr>
          <w:rFonts w:ascii="Segoe UI" w:hAnsi="Segoe UI"/>
          <w:b/>
          <w:sz w:val="20"/>
        </w:rPr>
        <w:t xml:space="preserve">DefenceTech Industries (Defence Manufacturing): </w:t>
      </w:r>
      <w:r>
        <w:rPr>
          <w:rFonts w:ascii="Segoe UI" w:hAnsi="Segoe UI"/>
          <w:sz w:val="20"/>
        </w:rPr>
        <w:t>Near-breakeven: MYR 40M profit FY2024 on MYR 1.2B assets = 3.3% ROE (cost of capital: 8%). Strategic review recommends pivoting to dual-use (civil + defence) manufacturing. New contracts: drone manufacturing for PDRM and Rela — signed Feb 2025.</w:t>
      </w:r>
    </w:p>
    <w:p>
      <w:pPr>
        <w:pStyle w:val="ListBullet"/>
        <w:spacing w:after="80"/>
      </w:pPr>
      <w:r>
        <w:rPr>
          <w:rFonts w:ascii="Segoe UI" w:hAnsi="Segoe UI"/>
          <w:b/>
          <w:sz w:val="20"/>
        </w:rPr>
        <w:t xml:space="preserve">AgroNational Corp (Agribusiness): </w:t>
      </w:r>
      <w:r>
        <w:rPr>
          <w:rFonts w:ascii="Segoe UI" w:hAnsi="Segoe UI"/>
          <w:sz w:val="20"/>
        </w:rPr>
        <w:t>Profitable but declining: Food security mandate creates operational complexity (can't optimise purely for profit). New CEO directive: focus on technology-driven yield improvement and reduce reliance on manual labour by 40% by FY2028.</w:t>
      </w:r>
    </w:p>
    <w:p>
      <w:pPr>
        <w:spacing w:after="80"/>
      </w:pPr>
      <w:r>
        <w:rPr>
          <w:color w:val="CCCCD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rFonts w:ascii="Segoe UI" w:hAnsi="Segoe UI"/>
          <w:b/>
          <w:color w:val="1F2D55"/>
          <w:sz w:val="32"/>
        </w:rPr>
        <w:t>3. GOVERNMENT PROGRAMME MANAGEMENT</w:t>
      </w:r>
    </w:p>
    <w:p>
      <w:pPr>
        <w:spacing w:after="120"/>
      </w:pPr>
      <w:r>
        <w:rPr>
          <w:rFonts w:ascii="Segoe UI" w:hAnsi="Segoe UI"/>
          <w:sz w:val="20"/>
        </w:rPr>
        <w:t>DCB administers 7 government mandated programmes totalling MYR 10.8B in FY2025 budget. Critical programme issues:</w:t>
      </w:r>
    </w:p>
    <w:p>
      <w:pPr>
        <w:pStyle w:val="ListBullet"/>
        <w:spacing w:after="80"/>
      </w:pPr>
      <w:r>
        <w:rPr>
          <w:rFonts w:ascii="Segoe UI" w:hAnsi="Segoe UI"/>
          <w:sz w:val="20"/>
        </w:rPr>
        <w:t>National Digital Infrastructure Fund (NDIF): 35% disbursement rate as of Q1 FY2025. Target is 84% population 5G coverage by Dec 2025 — current 48%. Deep structural issue: last-mile connectivity economics not viable for private sector alone. DCB is recommending a MYR 840M emergency supplementary allocation to MOF.</w:t>
      </w:r>
    </w:p>
    <w:p>
      <w:pPr>
        <w:pStyle w:val="ListBullet"/>
        <w:spacing w:after="80"/>
      </w:pPr>
      <w:r>
        <w:rPr>
          <w:rFonts w:ascii="Segoe UI" w:hAnsi="Segoe UI"/>
          <w:sz w:val="20"/>
        </w:rPr>
        <w:t>EV Transition Fund: 22.5% deployment rate. 112 of 500 planned EV charging points commissioned. Root cause: PEMUDAH permit delays for electrical infrastructure at commercial premises. DCB escalating to MITI for streamlined approval.</w:t>
      </w:r>
    </w:p>
    <w:p>
      <w:pPr>
        <w:pStyle w:val="ListBullet"/>
        <w:spacing w:after="80"/>
      </w:pPr>
      <w:r>
        <w:rPr>
          <w:rFonts w:ascii="Segoe UI" w:hAnsi="Segoe UI"/>
          <w:sz w:val="20"/>
        </w:rPr>
        <w:t>Affordable Housing: Citra Housing Trust recapitalisation will unlock stalled developments. 11,200 units under construction — delivery Q4 2025 to Q1 2026.</w:t>
      </w:r>
    </w:p>
    <w:p>
      <w:pPr>
        <w:spacing w:after="80"/>
      </w:pPr>
      <w:r>
        <w:rPr>
          <w:color w:val="CCCCD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rFonts w:ascii="Segoe UI" w:hAnsi="Segoe UI"/>
          <w:b/>
          <w:color w:val="1F2D55"/>
          <w:sz w:val="32"/>
        </w:rPr>
        <w:t>4. FY2025-2030 STRATEGIC PRIORITIES</w:t>
      </w:r>
    </w:p>
    <w:p>
      <w:pPr>
        <w:pStyle w:val="ListBullet"/>
        <w:spacing w:after="80"/>
      </w:pPr>
      <w:r>
        <w:rPr>
          <w:rFonts w:ascii="Segoe UI" w:hAnsi="Segoe UI"/>
          <w:b/>
          <w:sz w:val="20"/>
        </w:rPr>
        <w:t xml:space="preserve">Digital Economy Investment: </w:t>
      </w:r>
      <w:r>
        <w:rPr>
          <w:rFonts w:ascii="Segoe UI" w:hAnsi="Segoe UI"/>
          <w:sz w:val="20"/>
        </w:rPr>
        <w:t>MYR 8.4B committed to digital economy over 5 years: sovereign cloud (TechNex), quantum computing (RnD grants), AI national capability (Danamas AI Fund, MYR 2.4B)</w:t>
      </w:r>
    </w:p>
    <w:p>
      <w:pPr>
        <w:pStyle w:val="ListBullet"/>
        <w:spacing w:after="80"/>
      </w:pPr>
      <w:r>
        <w:rPr>
          <w:rFonts w:ascii="Segoe UI" w:hAnsi="Segoe UI"/>
          <w:b/>
          <w:sz w:val="20"/>
        </w:rPr>
        <w:t xml:space="preserve">Green Transition: </w:t>
      </w:r>
      <w:r>
        <w:rPr>
          <w:rFonts w:ascii="Segoe UI" w:hAnsi="Segoe UI"/>
          <w:sz w:val="20"/>
        </w:rPr>
        <w:t>GreenPower to reach 5GW renewable capacity by 2030. Green sukuk issuance: MYR 4.8B (FY2025-2027). Carbon credit market participation through BursaCarbon.</w:t>
      </w:r>
    </w:p>
    <w:p>
      <w:pPr>
        <w:pStyle w:val="ListBullet"/>
        <w:spacing w:after="80"/>
      </w:pPr>
      <w:r>
        <w:rPr>
          <w:rFonts w:ascii="Segoe UI" w:hAnsi="Segoe UI"/>
          <w:b/>
          <w:sz w:val="20"/>
        </w:rPr>
        <w:t xml:space="preserve">GLC Governance Reform: </w:t>
      </w:r>
      <w:r>
        <w:rPr>
          <w:rFonts w:ascii="Segoe UI" w:hAnsi="Segoe UI"/>
          <w:sz w:val="20"/>
        </w:rPr>
        <w:t>Board diversity: 40% women by FY2026 (current: 32%). ESG-linked remuneration for all GLC CEOs from FY2026. Integrated reporting (IR) for all 9 portfolio companies.</w:t>
      </w:r>
    </w:p>
    <w:p>
      <w:pPr>
        <w:pStyle w:val="ListBullet"/>
        <w:spacing w:after="80"/>
      </w:pPr>
      <w:r>
        <w:rPr>
          <w:rFonts w:ascii="Segoe UI" w:hAnsi="Segoe UI"/>
          <w:b/>
          <w:sz w:val="20"/>
        </w:rPr>
        <w:t xml:space="preserve">New Investment Themes: </w:t>
      </w:r>
      <w:r>
        <w:rPr>
          <w:rFonts w:ascii="Segoe UI" w:hAnsi="Segoe UI"/>
          <w:sz w:val="20"/>
        </w:rPr>
        <w:t>Healthcare (MedicoGen pharma JV), Green Hydrogen (GreenH2 Ventures seed), Agritech Indonesia (AgriTech ID minority), Port privatisation (Port Klang North)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