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egoe UI" w:hAnsi="Segoe UI"/>
          <w:b/>
          <w:color w:val="1F2D55"/>
          <w:sz w:val="44"/>
        </w:rPr>
        <w:t>APEX HEALTH GROUP BERHAD</w:t>
      </w:r>
    </w:p>
    <w:p>
      <w:pPr>
        <w:jc w:val="center"/>
      </w:pPr>
      <w:r>
        <w:rPr>
          <w:rFonts w:ascii="Segoe UI" w:hAnsi="Segoe UI"/>
          <w:color w:val="0078D4"/>
          <w:sz w:val="26"/>
        </w:rPr>
        <w:t>Clinical Excellence &amp; Growth Strategy | FY2025–2027</w:t>
      </w:r>
    </w:p>
    <w:p>
      <w:pPr>
        <w:jc w:val="center"/>
      </w:pPr>
      <w:r>
        <w:rPr>
          <w:b/>
          <w:color w:val="C00000"/>
          <w:sz w:val="20"/>
        </w:rPr>
        <w:t>STRICTLY CONFIDENTIAL — BOARD &amp; MANAGEMENT USE ONLY</w:t>
      </w:r>
    </w:p>
    <w:p/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1. EXECUTIVE SUMMARY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Apex Health Group Berhad (AHG) operates Malaysia's third-largest private hospital network with 12 hospitals across Malaysia and Indonesia, 4,200 licensed beds, and a clinical workforce of 8,400 healthcare professionals. In FY2024, AHG recorded revenue of MYR 2.84 billion and EBITDA of MYR 428 million (15.1% margin). This strategy document outlines AHG's three-year roadmap to achieve MYR 4.2 billion revenue and EBITDA margin expansion to 18.5% by FY2027.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Key Strategic Priorities for FY2025–2027: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Clinical centre of excellence expansion — 3 new Cancer Centres + 2 Cardiac Centres of Excellence by FY2026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Digital Health &amp; AI — deploy AI-assisted diagnostics, electronic patient records (EPR) system-wide, and predictive capacity management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Indonesia expansion — 3 new hospitals in Tier-1 cities (Jakarta, Surabaya, Medan) through greenfield + JV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Medical tourism — target 120,000 international patients/year by FY2027 (vs 68,000 FY2024)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Workforce excellence — reduce nurse attrition from 18.4% to &lt;12% through structured career pathways and remuneration benchmarking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2. BUSINESS OVERVIEW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2.1 Hospital Network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Apex Medical Centre KL: </w:t>
      </w:r>
      <w:r>
        <w:rPr>
          <w:rFonts w:ascii="Segoe UI" w:hAnsi="Segoe UI"/>
          <w:sz w:val="20"/>
        </w:rPr>
        <w:t>KLCC, Kuala Lumpur | 800 beds | Accreditation: 3-star private (ISO 15189) | Specialisation: Tertiary referral — Cardiology, Neurology, Oncology | FY2024 Revenue: MYR 820M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Apex Damansara: </w:t>
      </w:r>
      <w:r>
        <w:rPr>
          <w:rFonts w:ascii="Segoe UI" w:hAnsi="Segoe UI"/>
          <w:sz w:val="20"/>
        </w:rPr>
        <w:t>Damansara, Selangor | 480 beds | Accreditation: MSQH Accredited | Specialisation: General acute, O&amp;G, Paediatrics | FY2024 Revenue: MYR 380M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Apex Penang Island: </w:t>
      </w:r>
      <w:r>
        <w:rPr>
          <w:rFonts w:ascii="Segoe UI" w:hAnsi="Segoe UI"/>
          <w:sz w:val="20"/>
        </w:rPr>
        <w:t>Georgetown, Penang | 620 beds | Accreditation: MSQH + JCI (process) | Specialisation: Cardiac surgery, Oncology, Medical tourism | FY2024 Revenue: MYR 484M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Apex Johor Medicity: </w:t>
      </w:r>
      <w:r>
        <w:rPr>
          <w:rFonts w:ascii="Segoe UI" w:hAnsi="Segoe UI"/>
          <w:sz w:val="20"/>
        </w:rPr>
        <w:t>Iskandar Puteri, Johor | 520 beds | Accreditation: MSQH Accredited | Specialisation: Singapore medical tourist catchment | FY2024 Revenue: MYR 424M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Apex Kota Kinabalu: </w:t>
      </w:r>
      <w:r>
        <w:rPr>
          <w:rFonts w:ascii="Segoe UI" w:hAnsi="Segoe UI"/>
          <w:sz w:val="20"/>
        </w:rPr>
        <w:t>Sabah | 380 beds | Accreditation: MSQH Accredited | Specialisation: Sabah regional referral, Borneo tourism | FY2024 Revenue: MYR 248M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Apex Kuching: </w:t>
      </w:r>
      <w:r>
        <w:rPr>
          <w:rFonts w:ascii="Segoe UI" w:hAnsi="Segoe UI"/>
          <w:sz w:val="20"/>
        </w:rPr>
        <w:t>Sarawak | 320 beds | Accreditation: MSQH Accredited | Specialisation: Sarawak regional referral | FY2024 Revenue: MYR 184M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RS Apex Jakarta Selatan: </w:t>
      </w:r>
      <w:r>
        <w:rPr>
          <w:rFonts w:ascii="Segoe UI" w:hAnsi="Segoe UI"/>
          <w:sz w:val="20"/>
        </w:rPr>
        <w:t>South Jakarta | 640 beds | Accreditation: KARS (JCI equivalent) | Specialisation: Jakarta tertiary — Corporate + expat | FY2024 Revenue: MYR 348M IDR eq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RS Apex Surabaya: </w:t>
      </w:r>
      <w:r>
        <w:rPr>
          <w:rFonts w:ascii="Segoe UI" w:hAnsi="Segoe UI"/>
          <w:sz w:val="20"/>
        </w:rPr>
        <w:t>East Java | 480 beds | Accreditation: KARS Level Paripurna | Specialisation: East Java regional | FY2024 Revenue: MYR 224M IDR eq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2.2 Clinical Departments &amp; Revenue Mix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FY2024 Revenue by Service Line: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Cardiology &amp; Cardiac Surgery: </w:t>
      </w:r>
      <w:r>
        <w:rPr>
          <w:rFonts w:ascii="Segoe UI" w:hAnsi="Segoe UI"/>
          <w:sz w:val="20"/>
        </w:rPr>
        <w:t>22.4% | MYR 637M | High acuity, complex procedures — cath lab utilisation 84%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Oncology &amp; Haematology: </w:t>
      </w:r>
      <w:r>
        <w:rPr>
          <w:rFonts w:ascii="Segoe UI" w:hAnsi="Segoe UI"/>
          <w:sz w:val="20"/>
        </w:rPr>
        <w:t>18.8% | MYR 534M | Cancer Centre KL at capacity — waiting list 6 weeks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Orthopaedics &amp; Spine: </w:t>
      </w:r>
      <w:r>
        <w:rPr>
          <w:rFonts w:ascii="Segoe UI" w:hAnsi="Segoe UI"/>
          <w:sz w:val="20"/>
        </w:rPr>
        <w:t>14.2% | MYR 403M | Medical tourism driver — hip/knee replacement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Obstetrics &amp; Gynaecology: </w:t>
      </w:r>
      <w:r>
        <w:rPr>
          <w:rFonts w:ascii="Segoe UI" w:hAnsi="Segoe UI"/>
          <w:sz w:val="20"/>
        </w:rPr>
        <w:t>11.4% | MYR 324M | Premium delivery packages, IVF — growing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Neurology &amp; Neurosurgery: </w:t>
      </w:r>
      <w:r>
        <w:rPr>
          <w:rFonts w:ascii="Segoe UI" w:hAnsi="Segoe UI"/>
          <w:sz w:val="20"/>
        </w:rPr>
        <w:t>8.8% | MYR 250M | Stroke Centre designation — high acuity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Ophthalmology: </w:t>
      </w:r>
      <w:r>
        <w:rPr>
          <w:rFonts w:ascii="Segoe UI" w:hAnsi="Segoe UI"/>
          <w:sz w:val="20"/>
        </w:rPr>
        <w:t>6.4% | MYR 182M | LASIK + cataracts — day surgery high margin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Paediatrics &amp; NICU: </w:t>
      </w:r>
      <w:r>
        <w:rPr>
          <w:rFonts w:ascii="Segoe UI" w:hAnsi="Segoe UI"/>
          <w:sz w:val="20"/>
        </w:rPr>
        <w:t>6.2% | MYR 176M | NICU at 94% utilisation — capacity constraint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General Surgery: </w:t>
      </w:r>
      <w:r>
        <w:rPr>
          <w:rFonts w:ascii="Segoe UI" w:hAnsi="Segoe UI"/>
          <w:sz w:val="20"/>
        </w:rPr>
        <w:t>5.8% | MYR 165M | High volume, moderate margin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Diagnostics &amp; Imaging: </w:t>
      </w:r>
      <w:r>
        <w:rPr>
          <w:rFonts w:ascii="Segoe UI" w:hAnsi="Segoe UI"/>
          <w:sz w:val="20"/>
        </w:rPr>
        <w:t>4.2% | MYR 119M | MRI, PET-CT, 3D mammography — capital intensive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Others (Physio, Dental, etc.): </w:t>
      </w:r>
      <w:r>
        <w:rPr>
          <w:rFonts w:ascii="Segoe UI" w:hAnsi="Segoe UI"/>
          <w:sz w:val="20"/>
        </w:rPr>
        <w:t>1.8% | MYR 51M | Supplementary services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3. CRITICAL OPERATIONAL ISSUES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3.1 Nursing Shortage &amp; Attrition Crisis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AHG faces an acute nursing shortage driven by attrition (18.4% FY2024 vs 12% benchmark) and MOH salary increases that have widened public-private wage gap. Current nurse-to-bed ratio at Apex KL: 1:4.2 vs target 1:3.5. Estimated replacement cost: MYR 48,000 per nurse (recruitment + 3 months training). Total FY2024 attrition cost: MYR 18.4M.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Root cause 1: MOH raised nurse salary by 15% Jan 2025 — private sector cannot immediately match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Root cause 2: UAE, Australia, Singapore active recruitment — 284 nurses poached FY2024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Root cause 3: Mandatory 2-year retention bond not legally enforceable post-MCO precedent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Impact: 3 ICU bays suspended at Apex Damansara — MYR 12M revenue at risk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Action: AHG Nurse Career Ladder v2.0 in development — 5 grade levels, specialist allowance MYR 800-2,400/month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3.2 Cancer Centre Capacity Constraint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Apex Cancer Centre KL (Oncology) has 6-week outpatient appointment waiting time — highest in the network. Linear accelerator (LINAC) utilisation at 94%. Three patients referred out to competitor hospitals in Q1 FY2025 — estimated MYR 1.8M revenue leakage per quarter.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Immediate: Add weekend LINAC slots — target +24 treatment slots/week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Short-term: Recruit 2 additional radiation oncologists (budgeted, sourcing from India + UK)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Medium-term: Second LINAC at Apex KL — CAPEX MYR 14M, lead time 18 months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Long-term: New Cancer Centre at Apex Johor — greenfield, MYR 84M investment, FY2027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3.3 Medical Tourism Recovery — Post-Pandemic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Medical tourism revenue recovered to 72% of pre-pandemic levels (MYR 384M FY2024 vs MYR 532M FY2019). Primary source markets: Indonesia (48%), Bangladesh (18%), Myanmar (12%), Vietnam (10%), Middle East (8%), Others (4%).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Key challenge: Indonesian patients increasingly diverted to RS Pondok Indah, RS Siloam (JCI-accredited) locally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Opportunity: Apex Penang JCI accreditation (target Q3 2025) will unlock 'preferred provider' status for 3 Indonesian corporate insurance schemes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MOU signed with Prudential Indonesia + AXA Mandiri to channel 4,200+ patients/year once JCI achieved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4. DIGITAL HEALTH TRANSFORMATION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Project APEX DIGITAL (budget MYR 124M, FY2025-2027) covers 4 technology pillars: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EPR (Electronic Patient Records): </w:t>
      </w:r>
      <w:r>
        <w:rPr>
          <w:rFonts w:ascii="Segoe UI" w:hAnsi="Segoe UI"/>
          <w:sz w:val="20"/>
        </w:rPr>
        <w:t>System-wide unified EPR replacing 4 disparate legacy systems. Vendor: Epic Systems. Go-live Apex KL Jan 2026, network-wide by Dec 2027. Budget: MYR 64M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AI Diagnostics: </w:t>
      </w:r>
      <w:r>
        <w:rPr>
          <w:rFonts w:ascii="Segoe UI" w:hAnsi="Segoe UI"/>
          <w:sz w:val="20"/>
        </w:rPr>
        <w:t>AI-assisted radiology read (chest X-ray, CT head) — pilot at Apex KL from Q2 2025. Partnership: Enlitic + local partner. Target: 40% reduction in radiology report turnaround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Predictive Capacity Management: </w:t>
      </w:r>
      <w:r>
        <w:rPr>
          <w:rFonts w:ascii="Segoe UI" w:hAnsi="Segoe UI"/>
          <w:sz w:val="20"/>
        </w:rPr>
        <w:t>AI-driven bed management, OT scheduling, ICU flow. Target: 8% improvement in bed utilisation across network. Budget: MYR 18M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Patient Mobile App &amp; Telehealth: </w:t>
      </w:r>
      <w:r>
        <w:rPr>
          <w:rFonts w:ascii="Segoe UI" w:hAnsi="Segoe UI"/>
          <w:sz w:val="20"/>
        </w:rPr>
        <w:t>AHG MyHealth app — appointment booking, teleconsult, health records. Target: 200,000 registered users by FY2026. Budget: MYR 22M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5. FY2025–2027 FINANCIAL TARGETS</w:t>
      </w:r>
    </w:p>
    <w:p>
      <w:pPr>
        <w:spacing w:after="120"/>
        <w:ind w:left="0"/>
      </w:pPr>
      <w:r>
        <w:rPr>
          <w:rFonts w:ascii="Segoe UI" w:hAnsi="Segoe UI"/>
          <w:sz w:val="20"/>
        </w:rPr>
        <w:t>Three-Year Targets: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Revenue: </w:t>
      </w:r>
      <w:r>
        <w:rPr>
          <w:rFonts w:ascii="Segoe UI" w:hAnsi="Segoe UI"/>
          <w:sz w:val="20"/>
        </w:rPr>
        <w:t>FY2024: MYR 2.84B → FY2025F: MYR 3.40B → FY2026F: MYR 3.84B → FY2027F: MYR 4.20B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EBITDA Margin: </w:t>
      </w:r>
      <w:r>
        <w:rPr>
          <w:rFonts w:ascii="Segoe UI" w:hAnsi="Segoe UI"/>
          <w:sz w:val="20"/>
        </w:rPr>
        <w:t>FY2024: 15.1% → FY2025F: 16.2% → FY2026F: 17.4% → FY2027F: 18.5%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Bed Expansion: </w:t>
      </w:r>
      <w:r>
        <w:rPr>
          <w:rFonts w:ascii="Segoe UI" w:hAnsi="Segoe UI"/>
          <w:sz w:val="20"/>
        </w:rPr>
        <w:t>FY2024: 4200 → FY2025F: 4400 → FY2026F: 4800 → FY2027F: 5200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International Patients: </w:t>
      </w:r>
      <w:r>
        <w:rPr>
          <w:rFonts w:ascii="Segoe UI" w:hAnsi="Segoe UI"/>
          <w:sz w:val="20"/>
        </w:rPr>
        <w:t>FY2024: 68000 → FY2025F: 80000 → FY2026F: 100000 → FY2027F: 120000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Nurse-to-Bed Ratio: </w:t>
      </w:r>
      <w:r>
        <w:rPr>
          <w:rFonts w:ascii="Segoe UI" w:hAnsi="Segoe UI"/>
          <w:sz w:val="20"/>
        </w:rPr>
        <w:t>FY2024: 1:4.2 → FY2025F: 1:3.9 → FY2026F: 1:3.7 → FY2027F: 1:3.5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Health Group — Clinical Excellence &amp; Growth Strategy FY2025–2027</dc:title>
  <dc:subject/>
  <dc:creator>Apex Health Group Corporate Strategy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