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44"/>
        </w:rPr>
        <w:t>PACIFIC SHIELD INSURANCE BERHAD</w:t>
      </w:r>
    </w:p>
    <w:p>
      <w:pPr>
        <w:jc w:val="center"/>
      </w:pPr>
      <w:r>
        <w:rPr>
          <w:rFonts w:ascii="Segoe UI" w:hAnsi="Segoe UI"/>
          <w:color w:val="0078D4"/>
          <w:sz w:val="26"/>
        </w:rPr>
        <w:t>Underwriting Excellence &amp; Digital Transformation Strategy | FY2025</w:t>
      </w:r>
    </w:p>
    <w:p/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1. EXECUTIVE OVERVIEW</w:t>
      </w:r>
    </w:p>
    <w:p>
      <w:pPr>
        <w:spacing w:after="120"/>
      </w:pPr>
      <w:r>
        <w:rPr>
          <w:rFonts w:ascii="Segoe UI" w:hAnsi="Segoe UI"/>
          <w:sz w:val="20"/>
        </w:rPr>
        <w:t>Pacific Shield Insurance Berhad (PSI) is Malaysia's third-largest general insurer by gross written premium (GWP), with a total GWP of MYR 3.84 billion in FY2024 and a net profit of MYR 428 million. PSI operates through 84 branches, 12,400 agents, and a fast-growing digital channel contributing 28% of new business. This strategy document covers PSI's underwriting excellence agenda, digital claims transformation, and the critical issue of rising claims frequency in the motor portfolio.</w:t>
      </w:r>
    </w:p>
    <w:p>
      <w:pPr>
        <w:spacing w:before="160" w:after="120"/>
      </w:pPr>
      <w:r>
        <w:rPr>
          <w:rFonts w:ascii="Segoe UI" w:hAnsi="Segoe UI"/>
          <w:b/>
          <w:color w:val="1F2D55"/>
          <w:sz w:val="26"/>
        </w:rPr>
        <w:t>2. BUSINESS MIX &amp; PERFORMANCE</w:t>
      </w:r>
    </w:p>
    <w:p>
      <w:pPr>
        <w:spacing w:after="120"/>
      </w:pPr>
      <w:r>
        <w:rPr>
          <w:rFonts w:ascii="Segoe UI" w:hAnsi="Segoe UI"/>
          <w:sz w:val="20"/>
        </w:rPr>
        <w:t>FY2024 Gross Written Premium by line of business: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Motor: </w:t>
      </w:r>
      <w:r>
        <w:rPr>
          <w:rFonts w:ascii="Segoe UI" w:hAnsi="Segoe UI"/>
          <w:sz w:val="20"/>
        </w:rPr>
        <w:t>MYR 1.84B (47.9%) — largest line; combined ratio 108% — UNPROFITABLE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Property &amp; Fire: </w:t>
      </w:r>
      <w:r>
        <w:rPr>
          <w:rFonts w:ascii="Segoe UI" w:hAnsi="Segoe UI"/>
          <w:sz w:val="20"/>
        </w:rPr>
        <w:t>MYR 684M (17.8%) — combined ratio 72% — highly profitable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Medical &amp; Health: </w:t>
      </w:r>
      <w:r>
        <w:rPr>
          <w:rFonts w:ascii="Segoe UI" w:hAnsi="Segoe UI"/>
          <w:sz w:val="20"/>
        </w:rPr>
        <w:t>MYR 484M (12.6%) — growing +22.4% YoY — claims inflation concern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Marine Cargo &amp; Hull: </w:t>
      </w:r>
      <w:r>
        <w:rPr>
          <w:rFonts w:ascii="Segoe UI" w:hAnsi="Segoe UI"/>
          <w:sz w:val="20"/>
        </w:rPr>
        <w:t>MYR 324M (8.4%) — stable, export trade correlated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Personal Accident: </w:t>
      </w:r>
      <w:r>
        <w:rPr>
          <w:rFonts w:ascii="Segoe UI" w:hAnsi="Segoe UI"/>
          <w:sz w:val="20"/>
        </w:rPr>
        <w:t>MYR 248M (6.5%) — growing, digital distribution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Liability: </w:t>
      </w:r>
      <w:r>
        <w:rPr>
          <w:rFonts w:ascii="Segoe UI" w:hAnsi="Segoe UI"/>
          <w:sz w:val="20"/>
        </w:rPr>
        <w:t>MYR 124M (3.2%) — professional indemnity, D&amp;O — growing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Engineering &amp; CAR: </w:t>
      </w:r>
      <w:r>
        <w:rPr>
          <w:rFonts w:ascii="Segoe UI" w:hAnsi="Segoe UI"/>
          <w:sz w:val="20"/>
        </w:rPr>
        <w:t>MYR 84M (2.2%) — construction boom driven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Miscellaneous: </w:t>
      </w:r>
      <w:r>
        <w:rPr>
          <w:rFonts w:ascii="Segoe UI" w:hAnsi="Segoe UI"/>
          <w:sz w:val="20"/>
        </w:rPr>
        <w:t>MYR 52M (1.4%) — travel, gadget, others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3. CRITICAL ISSUE: MOTOR PORTFOLIO LOSS</w:t>
      </w:r>
    </w:p>
    <w:p>
      <w:pPr>
        <w:spacing w:after="120"/>
      </w:pPr>
      <w:r>
        <w:rPr>
          <w:rFonts w:ascii="Segoe UI" w:hAnsi="Segoe UI"/>
          <w:sz w:val="20"/>
        </w:rPr>
        <w:t>PSI's motor insurance portfolio recorded a combined ratio of 108% in FY2024, representing an underwriting loss of MYR 147M. Motor remains the largest premium line but has been loss-making for 3 consecutive years. BNM expects insurers to present sustainable motor pricing strategies under the phased motor detariffication framework.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Claims frequency: 12.4% (industry: 9.8%) — PSI above industry due to agent-driven affinity blocks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Average claim cost: MYR 4,824 (+18.4% YoY) — workshop repair inflation + spare parts shortage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Bodily injury claims: frequency +28% post-2022 amendment to MACA (Motor Accidents Claims Act)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Fraud detection: 12.4% of motor claims flagged as potentially fraudulent (industry: 8.2%)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Action 1: Telematics-based UBI (usage-based insurance) pilot — 24,000 policies, Q3 2025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Action 2: AI fraud detection model (GBM + network analysis) — target 40% reduction in fraudulent payouts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Action 3: Repair network rationalisation — from 4,800 to 2,400 authorised workshops (quality over quantity)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Action 4: Risk segmentation reclassification — increase premium for high-risk segments under detariffication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4. DIGITAL CLAIMS TRANSFORMATION</w:t>
      </w:r>
    </w:p>
    <w:p>
      <w:pPr>
        <w:spacing w:after="120"/>
      </w:pPr>
      <w:r>
        <w:rPr>
          <w:rFonts w:ascii="Segoe UI" w:hAnsi="Segoe UI"/>
          <w:sz w:val="20"/>
        </w:rPr>
        <w:t>Project SWIFT CLAIM (MYR 42M, FY2025-2026) targets 60% of all claims to be settled within 5 working days by FY2026 (current: 38% within 5 days). Programme covers 4 work streams: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AI Claims Triage: </w:t>
      </w:r>
      <w:r>
        <w:rPr>
          <w:rFonts w:ascii="Segoe UI" w:hAnsi="Segoe UI"/>
          <w:sz w:val="20"/>
        </w:rPr>
        <w:t>Computer vision assessment of motor damage via mobile app upload. 48-hour straight-through processing (STP) for low-complexity claims &lt;MYR 5,000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Digital Claims Portal: </w:t>
      </w:r>
      <w:r>
        <w:rPr>
          <w:rFonts w:ascii="Segoe UI" w:hAnsi="Segoe UI"/>
          <w:sz w:val="20"/>
        </w:rPr>
        <w:t>Self-service claims lodgement, tracking, document upload. Target: 70% of claims submitted digitally by FY2026 vs 42% today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Repair Network Integration: </w:t>
      </w:r>
      <w:r>
        <w:rPr>
          <w:rFonts w:ascii="Segoe UI" w:hAnsi="Segoe UI"/>
          <w:sz w:val="20"/>
        </w:rPr>
        <w:t>API integration with 800 preferred workshops for direct billing. Eliminate 68% of manual invoice reconciliation</w:t>
      </w:r>
    </w:p>
    <w:p>
      <w:pPr>
        <w:pStyle w:val="ListBullet"/>
        <w:spacing w:after="80"/>
      </w:pPr>
      <w:r>
        <w:rPr>
          <w:rFonts w:ascii="Segoe UI" w:hAnsi="Segoe UI"/>
          <w:b/>
          <w:sz w:val="20"/>
        </w:rPr>
        <w:t xml:space="preserve">Parametric Motor Product: </w:t>
      </w:r>
      <w:r>
        <w:rPr>
          <w:rFonts w:ascii="Segoe UI" w:hAnsi="Segoe UI"/>
          <w:sz w:val="20"/>
        </w:rPr>
        <w:t>Pilot: auto payout triggered by accident report + GPS data — no assessor needed for &lt;MYR 2,000 damage</w:t>
      </w:r>
    </w:p>
    <w:p>
      <w:pPr>
        <w:spacing w:after="8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Segoe UI" w:hAnsi="Segoe UI"/>
          <w:b/>
          <w:color w:val="1F2D55"/>
          <w:sz w:val="32"/>
        </w:rPr>
        <w:t>5. MEDICAL INFLATION — EMERGING RISK</w:t>
      </w:r>
    </w:p>
    <w:p>
      <w:pPr>
        <w:spacing w:after="120"/>
      </w:pPr>
      <w:r>
        <w:rPr>
          <w:rFonts w:ascii="Segoe UI" w:hAnsi="Segoe UI"/>
          <w:sz w:val="20"/>
        </w:rPr>
        <w:t>Medical claims inflation: +22.4% YoY in Group Medical segment, driven by post-pandemic utilisation surge, specialist fee increases, and imported medical devices cost. PSI's Group Medical combined ratio: 94.2% (FY2024), projected to hit 102% by FY2026 without intervention.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Fee schedule review: negotiating revised fee panels with 28 hospital groups — target Q2 2025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Step therapy protocols: mandatory generic drug substitution in 12 therapeutic categories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Pre-authorisation AI: 84% of inpatient admissions to require digital pre-auth from Q3 2025</w:t>
      </w:r>
    </w:p>
    <w:p>
      <w:pPr>
        <w:pStyle w:val="ListBullet"/>
        <w:spacing w:after="80"/>
      </w:pPr>
      <w:r>
        <w:rPr>
          <w:rFonts w:ascii="Segoe UI" w:hAnsi="Segoe UI"/>
          <w:sz w:val="20"/>
        </w:rPr>
        <w:t>Copay structures: propose 10-20% member copay for specialist referrals without GP gate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