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2D55"/>
          <w:sz w:val="44"/>
        </w:rPr>
        <w:t>NUSANTARA ENERGY BERHAD</w:t>
      </w:r>
    </w:p>
    <w:p>
      <w:pPr>
        <w:jc w:val="center"/>
      </w:pPr>
      <w:r>
        <w:rPr>
          <w:rFonts w:ascii="Segoe UI" w:hAnsi="Segoe UI"/>
          <w:color w:val="0078D4"/>
          <w:sz w:val="26"/>
        </w:rPr>
        <w:t>Health, Safety &amp; Environment Annual Report FY2024 | CONFIDENTIAL</w:t>
      </w:r>
    </w:p>
    <w:p/>
    <w:p>
      <w:pPr>
        <w:spacing w:before="280" w:after="120"/>
      </w:pPr>
      <w:r>
        <w:rPr>
          <w:rFonts w:ascii="Segoe UI" w:hAnsi="Segoe UI"/>
          <w:b/>
          <w:color w:val="1F2D55"/>
          <w:sz w:val="32"/>
        </w:rPr>
        <w:t>1. CEO'S HSE MESSAGE</w:t>
      </w:r>
    </w:p>
    <w:p>
      <w:pPr>
        <w:spacing w:after="120"/>
      </w:pPr>
      <w:r>
        <w:rPr>
          <w:rFonts w:ascii="Segoe UI" w:hAnsi="Segoe UI"/>
          <w:sz w:val="20"/>
        </w:rPr>
        <w:t>Dear Fellow Nusantarians, FY2024 was a year of significant progress on our journey to Zero Harm. We recorded our second consecutive year of zero fatalities across all operated assets — a milestone that reflects the tireless commitment of our 22,400 workforce to prioritise life above all else. However, we cannot be complacent. Three high-potential near misses at our Sarawak offshore platform and one process safety event at Miri gas compression station remind us that hydrocarbon operations carry inherent risk. This report documents our FY2024 performance and the corrective actions we have taken.</w:t>
      </w:r>
    </w:p>
    <w:p>
      <w:pPr>
        <w:spacing w:after="120"/>
      </w:pPr>
      <w:r>
        <w:rPr>
          <w:rFonts w:ascii="Segoe UI" w:hAnsi="Segoe UI"/>
          <w:sz w:val="20"/>
        </w:rPr>
        <w:t>Ir. Fadzillah Rahman, President &amp; CEO, Nusantara Energy Berhad</w:t>
      </w:r>
    </w:p>
    <w:p>
      <w:pPr>
        <w:spacing w:after="80"/>
      </w:pPr>
      <w:r>
        <w:rPr>
          <w:color w:val="CCCCDD"/>
          <w:sz w:val="16"/>
        </w:rPr>
        <w:t>────────────────────────────────────────────────────────────────────────────────</w:t>
      </w:r>
    </w:p>
    <w:p>
      <w:pPr>
        <w:spacing w:before="280" w:after="120"/>
      </w:pPr>
      <w:r>
        <w:rPr>
          <w:rFonts w:ascii="Segoe UI" w:hAnsi="Segoe UI"/>
          <w:b/>
          <w:color w:val="1F2D55"/>
          <w:sz w:val="32"/>
        </w:rPr>
        <w:t>2. FY2024 SAFETY PERFORMANCE</w:t>
      </w:r>
    </w:p>
    <w:p>
      <w:pPr>
        <w:spacing w:after="120"/>
      </w:pPr>
      <w:r>
        <w:rPr>
          <w:rFonts w:ascii="Segoe UI" w:hAnsi="Segoe UI"/>
          <w:sz w:val="20"/>
        </w:rPr>
        <w:t>Group-wide Safety KPIs FY2024 vs targets:</w:t>
      </w:r>
    </w:p>
    <w:p>
      <w:pPr>
        <w:pStyle w:val="ListBullet"/>
        <w:spacing w:after="80"/>
      </w:pPr>
      <w:r>
        <w:rPr>
          <w:rFonts w:ascii="Segoe UI" w:hAnsi="Segoe UI"/>
          <w:b/>
          <w:sz w:val="20"/>
        </w:rPr>
        <w:t xml:space="preserve">Total Recordable Incident Rate (TRIR): </w:t>
      </w:r>
      <w:r>
        <w:rPr>
          <w:rFonts w:ascii="Segoe UI" w:hAnsi="Segoe UI"/>
          <w:sz w:val="20"/>
        </w:rPr>
        <w:t>0.48 per million manhours | Target: &lt;0.50 | ✓ ACHIEVED | FY2023: 0.54 — improved</w:t>
      </w:r>
    </w:p>
    <w:p>
      <w:pPr>
        <w:pStyle w:val="ListBullet"/>
        <w:spacing w:after="80"/>
      </w:pPr>
      <w:r>
        <w:rPr>
          <w:rFonts w:ascii="Segoe UI" w:hAnsi="Segoe UI"/>
          <w:b/>
          <w:sz w:val="20"/>
        </w:rPr>
        <w:t xml:space="preserve">Lost Time Incident Rate (LTIR): </w:t>
      </w:r>
      <w:r>
        <w:rPr>
          <w:rFonts w:ascii="Segoe UI" w:hAnsi="Segoe UI"/>
          <w:sz w:val="20"/>
        </w:rPr>
        <w:t>0.12 per million manhours | Target: &lt;0.15 | ✓ ACHIEVED | FY2023: 0.16 — improved</w:t>
      </w:r>
    </w:p>
    <w:p>
      <w:pPr>
        <w:pStyle w:val="ListBullet"/>
        <w:spacing w:after="80"/>
      </w:pPr>
      <w:r>
        <w:rPr>
          <w:rFonts w:ascii="Segoe UI" w:hAnsi="Segoe UI"/>
          <w:b/>
          <w:sz w:val="20"/>
        </w:rPr>
        <w:t xml:space="preserve">Fatalities: </w:t>
      </w:r>
      <w:r>
        <w:rPr>
          <w:rFonts w:ascii="Segoe UI" w:hAnsi="Segoe UI"/>
          <w:sz w:val="20"/>
        </w:rPr>
        <w:t>0 | Target: 0 | ✓ ACHIEVED | 2nd consecutive zero fatality year</w:t>
      </w:r>
    </w:p>
    <w:p>
      <w:pPr>
        <w:pStyle w:val="ListBullet"/>
        <w:spacing w:after="80"/>
      </w:pPr>
      <w:r>
        <w:rPr>
          <w:rFonts w:ascii="Segoe UI" w:hAnsi="Segoe UI"/>
          <w:b/>
          <w:sz w:val="20"/>
        </w:rPr>
        <w:t xml:space="preserve">High-Potential Near Misses: </w:t>
      </w:r>
      <w:r>
        <w:rPr>
          <w:rFonts w:ascii="Segoe UI" w:hAnsi="Segoe UI"/>
          <w:sz w:val="20"/>
        </w:rPr>
        <w:t>3 | Target: &lt;5 | ✓ ACHIEVED | All investigated, CAPA closed</w:t>
      </w:r>
    </w:p>
    <w:p>
      <w:pPr>
        <w:pStyle w:val="ListBullet"/>
        <w:spacing w:after="80"/>
      </w:pPr>
      <w:r>
        <w:rPr>
          <w:rFonts w:ascii="Segoe UI" w:hAnsi="Segoe UI"/>
          <w:b/>
          <w:sz w:val="20"/>
        </w:rPr>
        <w:t xml:space="preserve">Process Safety Events Tier 1: </w:t>
      </w:r>
      <w:r>
        <w:rPr>
          <w:rFonts w:ascii="Segoe UI" w:hAnsi="Segoe UI"/>
          <w:sz w:val="20"/>
        </w:rPr>
        <w:t>1 | Target: 0 | ✗ NOT ACHIEVED | Miri gas compression — see Section 4</w:t>
      </w:r>
    </w:p>
    <w:p>
      <w:pPr>
        <w:pStyle w:val="ListBullet"/>
        <w:spacing w:after="80"/>
      </w:pPr>
      <w:r>
        <w:rPr>
          <w:rFonts w:ascii="Segoe UI" w:hAnsi="Segoe UI"/>
          <w:b/>
          <w:sz w:val="20"/>
        </w:rPr>
        <w:t xml:space="preserve">Process Safety Events Tier 2: </w:t>
      </w:r>
      <w:r>
        <w:rPr>
          <w:rFonts w:ascii="Segoe UI" w:hAnsi="Segoe UI"/>
          <w:sz w:val="20"/>
        </w:rPr>
        <w:t>4 | Target: &lt;3 | ✗ NOT ACHIEVED | 4 LOPC events — hydrocarbon releases &lt;1 barrel</w:t>
      </w:r>
    </w:p>
    <w:p>
      <w:pPr>
        <w:pStyle w:val="ListBullet"/>
        <w:spacing w:after="80"/>
      </w:pPr>
      <w:r>
        <w:rPr>
          <w:rFonts w:ascii="Segoe UI" w:hAnsi="Segoe UI"/>
          <w:b/>
          <w:sz w:val="20"/>
        </w:rPr>
        <w:t xml:space="preserve">Spills &gt; 1 barrel: </w:t>
      </w:r>
      <w:r>
        <w:rPr>
          <w:rFonts w:ascii="Segoe UI" w:hAnsi="Segoe UI"/>
          <w:sz w:val="20"/>
        </w:rPr>
        <w:t>2 | Target: 0 | ✗ NOT ACHIEVED | SK-B platform Aug 2024; onshore pipeline Oct 2024</w:t>
      </w:r>
    </w:p>
    <w:p>
      <w:pPr>
        <w:spacing w:after="80"/>
      </w:pPr>
      <w:r>
        <w:rPr>
          <w:color w:val="CCCCDD"/>
          <w:sz w:val="16"/>
        </w:rPr>
        <w:t>────────────────────────────────────────────────────────────────────────────────</w:t>
      </w:r>
    </w:p>
    <w:p>
      <w:pPr>
        <w:spacing w:before="280" w:after="120"/>
      </w:pPr>
      <w:r>
        <w:rPr>
          <w:rFonts w:ascii="Segoe UI" w:hAnsi="Segoe UI"/>
          <w:b/>
          <w:color w:val="1F2D55"/>
          <w:sz w:val="32"/>
        </w:rPr>
        <w:t>3. ASSET-BY-ASSET HSE STATUS</w:t>
      </w:r>
    </w:p>
    <w:p>
      <w:pPr>
        <w:pStyle w:val="ListBullet"/>
        <w:spacing w:after="80"/>
      </w:pPr>
      <w:r>
        <w:rPr>
          <w:rFonts w:ascii="Segoe UI" w:hAnsi="Segoe UI"/>
          <w:b/>
          <w:sz w:val="20"/>
        </w:rPr>
        <w:t xml:space="preserve">Miri Gas Fields (Sarawak, MY): </w:t>
      </w:r>
      <w:r>
        <w:rPr>
          <w:rFonts w:ascii="Segoe UI" w:hAnsi="Segoe UI"/>
          <w:sz w:val="20"/>
        </w:rPr>
        <w:t>TRIR 0.22 — excellent. 1 Tier 1 PSE (compression station overpressure — no injury). CAPA: pressure relief valve replacement + SIL review. Completion Q2 2025.</w:t>
      </w:r>
    </w:p>
    <w:p>
      <w:pPr>
        <w:pStyle w:val="ListBullet"/>
        <w:spacing w:after="80"/>
      </w:pPr>
      <w:r>
        <w:rPr>
          <w:rFonts w:ascii="Segoe UI" w:hAnsi="Segoe UI"/>
          <w:b/>
          <w:sz w:val="20"/>
        </w:rPr>
        <w:t xml:space="preserve">Dulang Oil Field (Peninsula, MY): </w:t>
      </w:r>
      <w:r>
        <w:rPr>
          <w:rFonts w:ascii="Segoe UI" w:hAnsi="Segoe UI"/>
          <w:sz w:val="20"/>
        </w:rPr>
        <w:t>TRIR 0.38 — good. 0 LTIs. Near-miss: scaffolding collapse (no injury) — permit-to-work revised.</w:t>
      </w:r>
    </w:p>
    <w:p>
      <w:pPr>
        <w:pStyle w:val="ListBullet"/>
        <w:spacing w:after="80"/>
      </w:pPr>
      <w:r>
        <w:rPr>
          <w:rFonts w:ascii="Segoe UI" w:hAnsi="Segoe UI"/>
          <w:b/>
          <w:sz w:val="20"/>
        </w:rPr>
        <w:t xml:space="preserve">Mahakam Block (East Kalimantan, ID): </w:t>
      </w:r>
      <w:r>
        <w:rPr>
          <w:rFonts w:ascii="Segoe UI" w:hAnsi="Segoe UI"/>
          <w:sz w:val="20"/>
        </w:rPr>
        <w:t>TRIR 0.64 — above target. 1 LTI (finger amputation, contractor). Root cause: bypass of machine guarding. Action: machine guarding audit all rotating equipment Q1 2025.</w:t>
      </w:r>
    </w:p>
    <w:p>
      <w:pPr>
        <w:pStyle w:val="ListBullet"/>
        <w:spacing w:after="80"/>
      </w:pPr>
      <w:r>
        <w:rPr>
          <w:rFonts w:ascii="Segoe UI" w:hAnsi="Segoe UI"/>
          <w:b/>
          <w:sz w:val="20"/>
        </w:rPr>
        <w:t xml:space="preserve">Muara Bakau PSC (Offshore, ID): </w:t>
      </w:r>
      <w:r>
        <w:rPr>
          <w:rFonts w:ascii="Segoe UI" w:hAnsi="Segoe UI"/>
          <w:sz w:val="20"/>
        </w:rPr>
        <w:t>TRIR 0.84 — highest in portfolio. 2 LTIs. Root cause: contractor management — 3 contractors deregistered. HSE bridge document revised.</w:t>
      </w:r>
    </w:p>
    <w:p>
      <w:pPr>
        <w:pStyle w:val="ListBullet"/>
        <w:spacing w:after="80"/>
      </w:pPr>
      <w:r>
        <w:rPr>
          <w:rFonts w:ascii="Segoe UI" w:hAnsi="Segoe UI"/>
          <w:b/>
          <w:sz w:val="20"/>
        </w:rPr>
        <w:t xml:space="preserve">Bintulu LNG Terminal (MY): </w:t>
      </w:r>
      <w:r>
        <w:rPr>
          <w:rFonts w:ascii="Segoe UI" w:hAnsi="Segoe UI"/>
          <w:sz w:val="20"/>
        </w:rPr>
        <w:t>TRIR 0.18 — world class. 0 incidents. Best performer — safety culture award Q3 FY2024.</w:t>
      </w:r>
    </w:p>
    <w:p>
      <w:pPr>
        <w:pStyle w:val="ListBullet"/>
        <w:spacing w:after="80"/>
      </w:pPr>
      <w:r>
        <w:rPr>
          <w:rFonts w:ascii="Segoe UI" w:hAnsi="Segoe UI"/>
          <w:b/>
          <w:sz w:val="20"/>
        </w:rPr>
        <w:t xml:space="preserve">Refinery KL (MY): </w:t>
      </w:r>
      <w:r>
        <w:rPr>
          <w:rFonts w:ascii="Segoe UI" w:hAnsi="Segoe UI"/>
          <w:sz w:val="20"/>
        </w:rPr>
        <w:t>TRIR 0.42 — within target. Scheduled turnaround Apr 2025 — PSSR (Pre-Startup Safety Review) in progress.</w:t>
      </w:r>
    </w:p>
    <w:p>
      <w:pPr>
        <w:spacing w:after="80"/>
      </w:pPr>
      <w:r>
        <w:rPr>
          <w:color w:val="CCCCDD"/>
          <w:sz w:val="16"/>
        </w:rPr>
        <w:t>────────────────────────────────────────────────────────────────────────────────</w:t>
      </w:r>
    </w:p>
    <w:p>
      <w:pPr>
        <w:spacing w:before="280" w:after="120"/>
      </w:pPr>
      <w:r>
        <w:rPr>
          <w:rFonts w:ascii="Segoe UI" w:hAnsi="Segoe UI"/>
          <w:b/>
          <w:color w:val="1F2D55"/>
          <w:sz w:val="32"/>
        </w:rPr>
        <w:t>4. PROCESS SAFETY — MIRI GAS COMPRESSION</w:t>
      </w:r>
    </w:p>
    <w:p>
      <w:pPr>
        <w:spacing w:after="120"/>
      </w:pPr>
      <w:r>
        <w:rPr>
          <w:rFonts w:ascii="Segoe UI" w:hAnsi="Segoe UI"/>
          <w:sz w:val="20"/>
        </w:rPr>
        <w:t>On 14 March 2024, a Tier 1 Process Safety Event occurred at Miri Gas Compression Station Train 2. An overpressure condition resulted in the activation of the pressure safety valve (PSV-M214), releasing 284 kg of wet gas to the flare. No personnel injury. Asset damage: nil. Environmental impact: negligible. Root cause analysis (Bow-Tie methodology) completed.</w:t>
      </w:r>
    </w:p>
    <w:p>
      <w:pPr>
        <w:spacing w:after="120"/>
      </w:pPr>
      <w:r>
        <w:rPr>
          <w:rFonts w:ascii="Segoe UI" w:hAnsi="Segoe UI"/>
          <w:sz w:val="20"/>
        </w:rPr>
        <w:t>Root Cause Findings:</w:t>
      </w:r>
    </w:p>
    <w:p>
      <w:pPr>
        <w:pStyle w:val="ListBullet"/>
        <w:spacing w:after="80"/>
      </w:pPr>
      <w:r>
        <w:rPr>
          <w:rFonts w:ascii="Segoe UI" w:hAnsi="Segoe UI"/>
          <w:sz w:val="20"/>
        </w:rPr>
        <w:t>Immediate cause: PSV set-point had drifted from 85 barg to 91 barg — exceeded design pressure 90 barg</w:t>
      </w:r>
    </w:p>
    <w:p>
      <w:pPr>
        <w:pStyle w:val="ListBullet"/>
        <w:spacing w:after="80"/>
      </w:pPr>
      <w:r>
        <w:rPr>
          <w:rFonts w:ascii="Segoe UI" w:hAnsi="Segoe UI"/>
          <w:sz w:val="20"/>
        </w:rPr>
        <w:t>Contributing cause 1: PSV calibration frequency reduced from 12 to 18 months during COVID-19 cost reduction (not reversed)</w:t>
      </w:r>
    </w:p>
    <w:p>
      <w:pPr>
        <w:pStyle w:val="ListBullet"/>
        <w:spacing w:after="80"/>
      </w:pPr>
      <w:r>
        <w:rPr>
          <w:rFonts w:ascii="Segoe UI" w:hAnsi="Segoe UI"/>
          <w:sz w:val="20"/>
        </w:rPr>
        <w:t>Contributing cause 2: SIS (Safety Instrumented System) functional test overdue by 47 days</w:t>
      </w:r>
    </w:p>
    <w:p>
      <w:pPr>
        <w:pStyle w:val="ListBullet"/>
        <w:spacing w:after="80"/>
      </w:pPr>
      <w:r>
        <w:rPr>
          <w:rFonts w:ascii="Segoe UI" w:hAnsi="Segoe UI"/>
          <w:sz w:val="20"/>
        </w:rPr>
        <w:t>Contributing cause 3: Shift handover note did not capture compression train operating at high end of pressure range</w:t>
      </w:r>
    </w:p>
    <w:p>
      <w:pPr>
        <w:spacing w:after="120"/>
      </w:pPr>
      <w:r>
        <w:rPr>
          <w:rFonts w:ascii="Segoe UI" w:hAnsi="Segoe UI"/>
          <w:sz w:val="20"/>
        </w:rPr>
        <w:t>Corrective Actions (all completed as of Dec 2024):</w:t>
      </w:r>
    </w:p>
    <w:p>
      <w:pPr>
        <w:pStyle w:val="ListBullet"/>
        <w:spacing w:after="80"/>
      </w:pPr>
      <w:r>
        <w:rPr>
          <w:rFonts w:ascii="Segoe UI" w:hAnsi="Segoe UI"/>
          <w:sz w:val="20"/>
        </w:rPr>
        <w:t>PSV calibration frequency restored to 12-monthly across all 4 compression trains</w:t>
      </w:r>
    </w:p>
    <w:p>
      <w:pPr>
        <w:pStyle w:val="ListBullet"/>
        <w:spacing w:after="80"/>
      </w:pPr>
      <w:r>
        <w:rPr>
          <w:rFonts w:ascii="Segoe UI" w:hAnsi="Segoe UI"/>
          <w:sz w:val="20"/>
        </w:rPr>
        <w:t>SIS functional test rescheduled — all tests current and in schedule</w:t>
      </w:r>
    </w:p>
    <w:p>
      <w:pPr>
        <w:pStyle w:val="ListBullet"/>
        <w:spacing w:after="80"/>
      </w:pPr>
      <w:r>
        <w:rPr>
          <w:rFonts w:ascii="Segoe UI" w:hAnsi="Segoe UI"/>
          <w:sz w:val="20"/>
        </w:rPr>
        <w:t>Shift handover checklist enhanced with mandatory pressure band recording</w:t>
      </w:r>
    </w:p>
    <w:p>
      <w:pPr>
        <w:pStyle w:val="ListBullet"/>
        <w:spacing w:after="80"/>
      </w:pPr>
      <w:r>
        <w:rPr>
          <w:rFonts w:ascii="Segoe UI" w:hAnsi="Segoe UI"/>
          <w:sz w:val="20"/>
        </w:rPr>
        <w:t>Process Safety KPI dashboard added to daily operations meeting at Miri</w:t>
      </w:r>
    </w:p>
    <w:p>
      <w:pPr>
        <w:spacing w:after="80"/>
      </w:pPr>
      <w:r>
        <w:rPr>
          <w:color w:val="CCCCDD"/>
          <w:sz w:val="16"/>
        </w:rPr>
        <w:t>────────────────────────────────────────────────────────────────────────────────</w:t>
      </w:r>
    </w:p>
    <w:p>
      <w:pPr>
        <w:spacing w:before="280" w:after="120"/>
      </w:pPr>
      <w:r>
        <w:rPr>
          <w:rFonts w:ascii="Segoe UI" w:hAnsi="Segoe UI"/>
          <w:b/>
          <w:color w:val="1F2D55"/>
          <w:sz w:val="32"/>
        </w:rPr>
        <w:t>5. ENVIRONMENTAL PERFORMANCE</w:t>
      </w:r>
    </w:p>
    <w:p>
      <w:pPr>
        <w:pStyle w:val="ListBullet"/>
        <w:spacing w:after="80"/>
      </w:pPr>
      <w:r>
        <w:rPr>
          <w:rFonts w:ascii="Segoe UI" w:hAnsi="Segoe UI"/>
          <w:b/>
          <w:sz w:val="20"/>
        </w:rPr>
        <w:t xml:space="preserve">GHG Scope 1 (upstream operations): </w:t>
      </w:r>
      <w:r>
        <w:rPr>
          <w:rFonts w:ascii="Segoe UI" w:hAnsi="Segoe UI"/>
          <w:sz w:val="20"/>
        </w:rPr>
        <w:t>2.84M tCO2e FY2024 vs 2.96M tCO2e FY2023 — 4.1% reduction</w:t>
      </w:r>
    </w:p>
    <w:p>
      <w:pPr>
        <w:pStyle w:val="ListBullet"/>
        <w:spacing w:after="80"/>
      </w:pPr>
      <w:r>
        <w:rPr>
          <w:rFonts w:ascii="Segoe UI" w:hAnsi="Segoe UI"/>
          <w:b/>
          <w:sz w:val="20"/>
        </w:rPr>
        <w:t xml:space="preserve">Methane Intensity: </w:t>
      </w:r>
      <w:r>
        <w:rPr>
          <w:rFonts w:ascii="Segoe UI" w:hAnsi="Segoe UI"/>
          <w:sz w:val="20"/>
        </w:rPr>
        <w:t>0.048% of gas produced — on track for 0.040% by 2025</w:t>
      </w:r>
    </w:p>
    <w:p>
      <w:pPr>
        <w:pStyle w:val="ListBullet"/>
        <w:spacing w:after="80"/>
      </w:pPr>
      <w:r>
        <w:rPr>
          <w:rFonts w:ascii="Segoe UI" w:hAnsi="Segoe UI"/>
          <w:b/>
          <w:sz w:val="20"/>
        </w:rPr>
        <w:t xml:space="preserve">Freshwater Consumption: </w:t>
      </w:r>
      <w:r>
        <w:rPr>
          <w:rFonts w:ascii="Segoe UI" w:hAnsi="Segoe UI"/>
          <w:sz w:val="20"/>
        </w:rPr>
        <w:t>2.84M m³ — 8.4% reduction vs FY2023</w:t>
      </w:r>
    </w:p>
    <w:p>
      <w:pPr>
        <w:pStyle w:val="ListBullet"/>
        <w:spacing w:after="80"/>
      </w:pPr>
      <w:r>
        <w:rPr>
          <w:rFonts w:ascii="Segoe UI" w:hAnsi="Segoe UI"/>
          <w:b/>
          <w:sz w:val="20"/>
        </w:rPr>
        <w:t xml:space="preserve">Oilfield Waste to Landfill: </w:t>
      </w:r>
      <w:r>
        <w:rPr>
          <w:rFonts w:ascii="Segoe UI" w:hAnsi="Segoe UI"/>
          <w:sz w:val="20"/>
        </w:rPr>
        <w:t>12.4% — target &lt;10% by 2026</w:t>
      </w:r>
    </w:p>
    <w:p>
      <w:pPr>
        <w:pStyle w:val="ListBullet"/>
        <w:spacing w:after="80"/>
      </w:pPr>
      <w:r>
        <w:rPr>
          <w:rFonts w:ascii="Segoe UI" w:hAnsi="Segoe UI"/>
          <w:b/>
          <w:sz w:val="20"/>
        </w:rPr>
        <w:t xml:space="preserve">Biodiversity: Land Disturbed vs Rehabilitated: </w:t>
      </w:r>
      <w:r>
        <w:rPr>
          <w:rFonts w:ascii="Segoe UI" w:hAnsi="Segoe UI"/>
          <w:sz w:val="20"/>
        </w:rPr>
        <w:t>384 ha disturbed; 412 ha rehabilitated — net positive</w:t>
      </w:r>
    </w:p>
    <w:p>
      <w:pPr>
        <w:pStyle w:val="ListBullet"/>
        <w:spacing w:after="80"/>
      </w:pPr>
      <w:r>
        <w:rPr>
          <w:rFonts w:ascii="Segoe UI" w:hAnsi="Segoe UI"/>
          <w:b/>
          <w:sz w:val="20"/>
        </w:rPr>
        <w:t xml:space="preserve">EUDR Assessment (Palm-related operations): </w:t>
      </w:r>
      <w:r>
        <w:rPr>
          <w:rFonts w:ascii="Segoe UI" w:hAnsi="Segoe UI"/>
          <w:sz w:val="20"/>
        </w:rPr>
        <w:t>Not applicable — upstream only; no land-use conflict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