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2D55"/>
          <w:sz w:val="44"/>
        </w:rPr>
        <w:t>BRIGHTMART GROUP BERHAD</w:t>
      </w:r>
    </w:p>
    <w:p>
      <w:pPr>
        <w:jc w:val="center"/>
      </w:pPr>
      <w:r>
        <w:rPr>
          <w:rFonts w:ascii="Segoe UI" w:hAnsi="Segoe UI"/>
          <w:color w:val="0078D4"/>
          <w:sz w:val="26"/>
        </w:rPr>
        <w:t>Omnichannel Strategy &amp; Operations Excellence | FY2025 Management Review</w:t>
      </w:r>
    </w:p>
    <w:p/>
    <w:p>
      <w:pPr>
        <w:spacing w:before="280" w:after="120"/>
      </w:pPr>
      <w:r>
        <w:rPr>
          <w:rFonts w:ascii="Segoe UI" w:hAnsi="Segoe UI"/>
          <w:b/>
          <w:color w:val="1F2D55"/>
          <w:sz w:val="32"/>
        </w:rPr>
        <w:t>1. EXECUTIVE SUMMARY</w:t>
      </w:r>
    </w:p>
    <w:p>
      <w:pPr>
        <w:spacing w:after="120"/>
      </w:pPr>
      <w:r>
        <w:rPr>
          <w:rFonts w:ascii="Segoe UI" w:hAnsi="Segoe UI"/>
          <w:sz w:val="20"/>
        </w:rPr>
        <w:t>BrightMart Group Berhad (BMG) operates Malaysia's second-largest grocery retail chain with 284 stores across Malaysia and Indonesia, 8.2 million registered loyalty members, and FY2024 group revenue of MYR 4.84 billion. This management review covers the critical transformation agenda: addressing the 18.4% decline in average basket size since 2022, launching BrightMart Go (convenience format), and accelerating our e-commerce + quick commerce capabilities to defend against GoFood/GrabMart/TikTok Shop incursion.</w:t>
      </w:r>
    </w:p>
    <w:p>
      <w:pPr>
        <w:spacing w:before="280" w:after="120"/>
      </w:pPr>
      <w:r>
        <w:rPr>
          <w:rFonts w:ascii="Segoe UI" w:hAnsi="Segoe UI"/>
          <w:b/>
          <w:color w:val="1F2D55"/>
          <w:sz w:val="32"/>
        </w:rPr>
        <w:t>2. NETWORK PERFORMANCE</w:t>
      </w:r>
    </w:p>
    <w:p>
      <w:pPr>
        <w:spacing w:after="120"/>
      </w:pPr>
      <w:r>
        <w:rPr>
          <w:rFonts w:ascii="Segoe UI" w:hAnsi="Segoe UI"/>
          <w:sz w:val="20"/>
        </w:rPr>
        <w:t>Store network FY2024 performance summary:</w:t>
      </w:r>
    </w:p>
    <w:p>
      <w:pPr>
        <w:pStyle w:val="ListBullet"/>
        <w:spacing w:after="80"/>
      </w:pPr>
      <w:r>
        <w:rPr>
          <w:rFonts w:ascii="Segoe UI" w:hAnsi="Segoe UI"/>
          <w:b/>
          <w:sz w:val="20"/>
        </w:rPr>
        <w:t xml:space="preserve">BrightMart Hypermarket (42 stores): </w:t>
      </w:r>
      <w:r>
        <w:rPr>
          <w:rFonts w:ascii="Segoe UI" w:hAnsi="Segoe UI"/>
          <w:sz w:val="20"/>
        </w:rPr>
        <w:t>Avg store revenue MYR 84M/yr. Traffic -8.4% YoY. Average basket MYR 148 (-12.4%). Action: right-sizing from 100,000sqft to 65,000sqft average</w:t>
      </w:r>
    </w:p>
    <w:p>
      <w:pPr>
        <w:pStyle w:val="ListBullet"/>
        <w:spacing w:after="80"/>
      </w:pPr>
      <w:r>
        <w:rPr>
          <w:rFonts w:ascii="Segoe UI" w:hAnsi="Segoe UI"/>
          <w:b/>
          <w:sz w:val="20"/>
        </w:rPr>
        <w:t xml:space="preserve">BrightMart Supermarket (124 stores): </w:t>
      </w:r>
      <w:r>
        <w:rPr>
          <w:rFonts w:ascii="Segoe UI" w:hAnsi="Segoe UI"/>
          <w:sz w:val="20"/>
        </w:rPr>
        <w:t>Avg store revenue MYR 18.4M/yr. Steady. Average basket MYR 64 (-4.2%). Fresh department driving footfall</w:t>
      </w:r>
    </w:p>
    <w:p>
      <w:pPr>
        <w:pStyle w:val="ListBullet"/>
        <w:spacing w:after="80"/>
      </w:pPr>
      <w:r>
        <w:rPr>
          <w:rFonts w:ascii="Segoe UI" w:hAnsi="Segoe UI"/>
          <w:b/>
          <w:sz w:val="20"/>
        </w:rPr>
        <w:t xml:space="preserve">BrightMart Express (84 stores): </w:t>
      </w:r>
      <w:r>
        <w:rPr>
          <w:rFonts w:ascii="Segoe UI" w:hAnsi="Segoe UI"/>
          <w:sz w:val="20"/>
        </w:rPr>
        <w:t>Avg store revenue MYR 8.4M/yr. Growing +12.4%. Convenience format — residential catchment</w:t>
      </w:r>
    </w:p>
    <w:p>
      <w:pPr>
        <w:pStyle w:val="ListBullet"/>
        <w:spacing w:after="80"/>
      </w:pPr>
      <w:r>
        <w:rPr>
          <w:rFonts w:ascii="Segoe UI" w:hAnsi="Segoe UI"/>
          <w:b/>
          <w:sz w:val="20"/>
        </w:rPr>
        <w:t xml:space="preserve">BrightMart Indonesia (34 stores): </w:t>
      </w:r>
      <w:r>
        <w:rPr>
          <w:rFonts w:ascii="Segoe UI" w:hAnsi="Segoe UI"/>
          <w:sz w:val="20"/>
        </w:rPr>
        <w:t>Avg store revenue IDR 48B/yr. Stable. Competition from Indomaret + Alfamart intense</w:t>
      </w:r>
    </w:p>
    <w:p>
      <w:pPr>
        <w:pStyle w:val="ListBullet"/>
        <w:spacing w:after="80"/>
      </w:pPr>
      <w:r>
        <w:rPr>
          <w:rFonts w:ascii="Segoe UI" w:hAnsi="Segoe UI"/>
          <w:b/>
          <w:sz w:val="20"/>
        </w:rPr>
        <w:t xml:space="preserve">BrightMart Go (new, 0 → target 40 stores by Dec 2025): </w:t>
      </w:r>
      <w:r>
        <w:rPr>
          <w:rFonts w:ascii="Segoe UI" w:hAnsi="Segoe UI"/>
          <w:sz w:val="20"/>
        </w:rPr>
        <w:t>Pilot format: 1,800 sqft, zero checkout, RFID-enabled. First 2 stores: KLCC + Bangsar Village. Revenue MYR 2.8M/store/yr projected</w:t>
      </w:r>
    </w:p>
    <w:p>
      <w:pPr>
        <w:spacing w:after="80"/>
      </w:pPr>
      <w:r>
        <w:rPr>
          <w:color w:val="CCCCDD"/>
          <w:sz w:val="16"/>
        </w:rPr>
        <w:t>────────────────────────────────────────────────────────────────────────────────</w:t>
      </w:r>
    </w:p>
    <w:p>
      <w:pPr>
        <w:spacing w:before="280" w:after="120"/>
      </w:pPr>
      <w:r>
        <w:rPr>
          <w:rFonts w:ascii="Segoe UI" w:hAnsi="Segoe UI"/>
          <w:b/>
          <w:color w:val="1F2D55"/>
          <w:sz w:val="32"/>
        </w:rPr>
        <w:t>3. CRITICAL ISSUES</w:t>
      </w:r>
    </w:p>
    <w:p>
      <w:pPr>
        <w:spacing w:before="160" w:after="120"/>
      </w:pPr>
      <w:r>
        <w:rPr>
          <w:rFonts w:ascii="Segoe UI" w:hAnsi="Segoe UI"/>
          <w:b/>
          <w:color w:val="1F2D55"/>
          <w:sz w:val="26"/>
        </w:rPr>
        <w:t>3.1 Basket Size Decline &amp; Consumer Downtrading</w:t>
      </w:r>
    </w:p>
    <w:p>
      <w:pPr>
        <w:spacing w:after="120"/>
      </w:pPr>
      <w:r>
        <w:rPr>
          <w:rFonts w:ascii="Segoe UI" w:hAnsi="Segoe UI"/>
          <w:sz w:val="20"/>
        </w:rPr>
        <w:t>Average basket size has declined from MYR 168 (FY2022) to MYR 148 (FY2024) — an 11.9% erosion driven by cost-of-living pressure and trade-down to private label. Key data points:</w:t>
      </w:r>
    </w:p>
    <w:p>
      <w:pPr>
        <w:pStyle w:val="ListBullet"/>
        <w:spacing w:after="80"/>
      </w:pPr>
      <w:r>
        <w:rPr>
          <w:rFonts w:ascii="Segoe UI" w:hAnsi="Segoe UI"/>
          <w:sz w:val="20"/>
        </w:rPr>
        <w:t>Private label penetration grew from 8.4% to 14.8% of sales — positive margin impact (+420 bps)</w:t>
      </w:r>
    </w:p>
    <w:p>
      <w:pPr>
        <w:pStyle w:val="ListBullet"/>
        <w:spacing w:after="80"/>
      </w:pPr>
      <w:r>
        <w:rPr>
          <w:rFonts w:ascii="Segoe UI" w:hAnsi="Segoe UI"/>
          <w:sz w:val="20"/>
        </w:rPr>
        <w:t>Premium categories (premium cheese, wine, imported fruit) down 22.4% — highest income cohort trading down</w:t>
      </w:r>
    </w:p>
    <w:p>
      <w:pPr>
        <w:pStyle w:val="ListBullet"/>
        <w:spacing w:after="80"/>
      </w:pPr>
      <w:r>
        <w:rPr>
          <w:rFonts w:ascii="Segoe UI" w:hAnsi="Segoe UI"/>
          <w:sz w:val="20"/>
        </w:rPr>
        <w:t>Frequency of shop increased (+4.2%) but spend per trip fell (-14.8%) — 'little and often' behaviour</w:t>
      </w:r>
    </w:p>
    <w:p>
      <w:pPr>
        <w:pStyle w:val="ListBullet"/>
        <w:spacing w:after="80"/>
      </w:pPr>
      <w:r>
        <w:rPr>
          <w:rFonts w:ascii="Segoe UI" w:hAnsi="Segoe UI"/>
          <w:sz w:val="20"/>
        </w:rPr>
        <w:t>Shrinkage (theft + waste): 2.84% of revenue — above 2.0% target. RFID/EAS system refresh budgeted MYR 18M</w:t>
      </w:r>
    </w:p>
    <w:p>
      <w:pPr>
        <w:spacing w:before="160" w:after="120"/>
      </w:pPr>
      <w:r>
        <w:rPr>
          <w:rFonts w:ascii="Segoe UI" w:hAnsi="Segoe UI"/>
          <w:b/>
          <w:color w:val="1F2D55"/>
          <w:sz w:val="26"/>
        </w:rPr>
        <w:t>3.2 E-Commerce &amp; Quick Commerce</w:t>
      </w:r>
    </w:p>
    <w:p>
      <w:pPr>
        <w:spacing w:after="120"/>
      </w:pPr>
      <w:r>
        <w:rPr>
          <w:rFonts w:ascii="Segoe UI" w:hAnsi="Segoe UI"/>
          <w:sz w:val="20"/>
        </w:rPr>
        <w:t>BrightMart Online GMV: MYR 284M FY2024 (+28.4% YoY) but represents only 5.9% of group revenue vs 18-24% for regional peers. Quick commerce partnerships:</w:t>
      </w:r>
    </w:p>
    <w:p>
      <w:pPr>
        <w:pStyle w:val="ListBullet"/>
        <w:spacing w:after="80"/>
      </w:pPr>
      <w:r>
        <w:rPr>
          <w:rFonts w:ascii="Segoe UI" w:hAnsi="Segoe UI"/>
          <w:b/>
          <w:sz w:val="20"/>
        </w:rPr>
        <w:t xml:space="preserve">GrabMart: </w:t>
      </w:r>
      <w:r>
        <w:rPr>
          <w:rFonts w:ascii="Segoe UI" w:hAnsi="Segoe UI"/>
          <w:sz w:val="20"/>
        </w:rPr>
        <w:t>48 stores integrated. Avg delivery time: 42 min. AOV MYR 84. Gross margin: 12.4% (vs 18.4% in-store)</w:t>
      </w:r>
    </w:p>
    <w:p>
      <w:pPr>
        <w:pStyle w:val="ListBullet"/>
        <w:spacing w:after="80"/>
      </w:pPr>
      <w:r>
        <w:rPr>
          <w:rFonts w:ascii="Segoe UI" w:hAnsi="Segoe UI"/>
          <w:b/>
          <w:sz w:val="20"/>
        </w:rPr>
        <w:t xml:space="preserve">GoFood Express: </w:t>
      </w:r>
      <w:r>
        <w:rPr>
          <w:rFonts w:ascii="Segoe UI" w:hAnsi="Segoe UI"/>
          <w:sz w:val="20"/>
        </w:rPr>
        <w:t>28 stores integrated. Avg delivery time: 38 min. AOV MYR 68. Volume 2,400 orders/day</w:t>
      </w:r>
    </w:p>
    <w:p>
      <w:pPr>
        <w:pStyle w:val="ListBullet"/>
        <w:spacing w:after="80"/>
      </w:pPr>
      <w:r>
        <w:rPr>
          <w:rFonts w:ascii="Segoe UI" w:hAnsi="Segoe UI"/>
          <w:b/>
          <w:sz w:val="20"/>
        </w:rPr>
        <w:t xml:space="preserve">BrightMart Same Day (own fleet): </w:t>
      </w:r>
      <w:r>
        <w:rPr>
          <w:rFonts w:ascii="Segoe UI" w:hAnsi="Segoe UI"/>
          <w:sz w:val="20"/>
        </w:rPr>
        <w:t>12 darkstores in KL, Penang, JB. Avg delivery time: 84 min (target 60 min). EBITDA negative — loss MYR 12M FY2024</w:t>
      </w:r>
    </w:p>
    <w:p>
      <w:pPr>
        <w:pStyle w:val="ListBullet"/>
        <w:spacing w:after="80"/>
      </w:pPr>
      <w:r>
        <w:rPr>
          <w:rFonts w:ascii="Segoe UI" w:hAnsi="Segoe UI"/>
          <w:b/>
          <w:sz w:val="20"/>
        </w:rPr>
        <w:t xml:space="preserve">TikTok Shop Live Commerce: </w:t>
      </w:r>
      <w:r>
        <w:rPr>
          <w:rFonts w:ascii="Segoe UI" w:hAnsi="Segoe UI"/>
          <w:sz w:val="20"/>
        </w:rPr>
        <w:t>Pilot Jan 2025 — 14 live sessions, GMV MYR 1.84M. High potential — scaling to 3x/week</w:t>
      </w:r>
    </w:p>
    <w:p>
      <w:pPr>
        <w:spacing w:after="80"/>
      </w:pPr>
      <w:r>
        <w:rPr>
          <w:color w:val="CCCCDD"/>
          <w:sz w:val="16"/>
        </w:rPr>
        <w:t>────────────────────────────────────────────────────────────────────────────────</w:t>
      </w:r>
    </w:p>
    <w:p>
      <w:pPr>
        <w:spacing w:before="280" w:after="120"/>
      </w:pPr>
      <w:r>
        <w:rPr>
          <w:rFonts w:ascii="Segoe UI" w:hAnsi="Segoe UI"/>
          <w:b/>
          <w:color w:val="1F2D55"/>
          <w:sz w:val="32"/>
        </w:rPr>
        <w:t>4. PRIVATE LABEL STRATEGY</w:t>
      </w:r>
    </w:p>
    <w:p>
      <w:pPr>
        <w:spacing w:after="120"/>
      </w:pPr>
      <w:r>
        <w:rPr>
          <w:rFonts w:ascii="Segoe UI" w:hAnsi="Segoe UI"/>
          <w:sz w:val="20"/>
        </w:rPr>
        <w:t>BrightMart private label (sub-brands: BrightChoice, BrightFresh, BrightVital) strategy — accelerate from 14.8% to 22% penetration by FY2027:</w:t>
      </w:r>
    </w:p>
    <w:p>
      <w:pPr>
        <w:pStyle w:val="ListBullet"/>
        <w:spacing w:after="80"/>
      </w:pPr>
      <w:r>
        <w:rPr>
          <w:rFonts w:ascii="Segoe UI" w:hAnsi="Segoe UI"/>
          <w:sz w:val="20"/>
        </w:rPr>
        <w:t>Launch 340 new SKUs in FY2025 across fresh, chilled, ambient — focus on value-for-money positioning</w:t>
      </w:r>
    </w:p>
    <w:p>
      <w:pPr>
        <w:pStyle w:val="ListBullet"/>
        <w:spacing w:after="80"/>
      </w:pPr>
      <w:r>
        <w:rPr>
          <w:rFonts w:ascii="Segoe UI" w:hAnsi="Segoe UI"/>
          <w:sz w:val="20"/>
        </w:rPr>
        <w:t>BrightFresh: own-brand fresh produce (eggs, herbs, cut vegetables, chilled poultry) — contracts with 28 local farms</w:t>
      </w:r>
    </w:p>
    <w:p>
      <w:pPr>
        <w:pStyle w:val="ListBullet"/>
        <w:spacing w:after="80"/>
      </w:pPr>
      <w:r>
        <w:rPr>
          <w:rFonts w:ascii="Segoe UI" w:hAnsi="Segoe UI"/>
          <w:sz w:val="20"/>
        </w:rPr>
        <w:t>BrightVital: health supplements, vitamins — premium private label targeting health-conscious segment</w:t>
      </w:r>
    </w:p>
    <w:p>
      <w:pPr>
        <w:pStyle w:val="ListBullet"/>
        <w:spacing w:after="80"/>
      </w:pPr>
      <w:r>
        <w:rPr>
          <w:rFonts w:ascii="Segoe UI" w:hAnsi="Segoe UI"/>
          <w:sz w:val="20"/>
        </w:rPr>
        <w:t>Packaging redesign: FSC-certified packaging for all private label by Q3 2025</w:t>
      </w:r>
    </w:p>
    <w:p>
      <w:pPr>
        <w:pStyle w:val="ListBullet"/>
        <w:spacing w:after="80"/>
      </w:pPr>
      <w:r>
        <w:rPr>
          <w:rFonts w:ascii="Segoe UI" w:hAnsi="Segoe UI"/>
          <w:sz w:val="20"/>
        </w:rPr>
        <w:t>Target: private label gross margin 28.4% vs branded equivalent 18.4% — MYR 84M incremental EBITDA at 22% penetration</w:t>
      </w:r>
    </w:p>
    <w:p>
      <w:pPr>
        <w:spacing w:before="280" w:after="120"/>
      </w:pPr>
      <w:r>
        <w:rPr>
          <w:rFonts w:ascii="Segoe UI" w:hAnsi="Segoe UI"/>
          <w:b/>
          <w:color w:val="1F2D55"/>
          <w:sz w:val="32"/>
        </w:rPr>
        <w:t>5. DIGITAL &amp; LOYALTY</w:t>
      </w:r>
    </w:p>
    <w:p>
      <w:pPr>
        <w:spacing w:after="120"/>
      </w:pPr>
      <w:r>
        <w:rPr>
          <w:rFonts w:ascii="Segoe UI" w:hAnsi="Segoe UI"/>
          <w:sz w:val="20"/>
        </w:rPr>
        <w:t>BrightMart MyPoints loyalty programme: 8.2M members (Malaysia 6.4M + Indonesia 1.8M). App downloads: 4.8M. Monthly active users: 2.4M (29.3% MAU/member ratio — below 40% target).</w:t>
      </w:r>
    </w:p>
    <w:p>
      <w:pPr>
        <w:pStyle w:val="ListBullet"/>
        <w:spacing w:after="80"/>
      </w:pPr>
      <w:r>
        <w:rPr>
          <w:rFonts w:ascii="Segoe UI" w:hAnsi="Segoe UI"/>
          <w:sz w:val="20"/>
        </w:rPr>
        <w:t>Personalisation engine: AI recommendation model using 48-month purchase history — 22.4% click-through rate improvement in pilot</w:t>
      </w:r>
    </w:p>
    <w:p>
      <w:pPr>
        <w:pStyle w:val="ListBullet"/>
        <w:spacing w:after="80"/>
      </w:pPr>
      <w:r>
        <w:rPr>
          <w:rFonts w:ascii="Segoe UI" w:hAnsi="Segoe UI"/>
          <w:sz w:val="20"/>
        </w:rPr>
        <w:t>Digital coupons: 18.4M coupons redeemed FY2024 — MYR 28.4M revenue attributed</w:t>
      </w:r>
    </w:p>
    <w:p>
      <w:pPr>
        <w:pStyle w:val="ListBullet"/>
        <w:spacing w:after="80"/>
      </w:pPr>
      <w:r>
        <w:rPr>
          <w:rFonts w:ascii="Segoe UI" w:hAnsi="Segoe UI"/>
          <w:sz w:val="20"/>
        </w:rPr>
        <w:t>BrightPay (embedded BNPL): pilot MYR 248M GMV in 6 months — default rate 1.8%</w:t>
      </w:r>
    </w:p>
    <w:p>
      <w:pPr>
        <w:pStyle w:val="ListBullet"/>
        <w:spacing w:after="80"/>
      </w:pPr>
      <w:r>
        <w:rPr>
          <w:rFonts w:ascii="Segoe UI" w:hAnsi="Segoe UI"/>
          <w:sz w:val="20"/>
        </w:rPr>
        <w:t>Priority: increase MAU from 2.4M to 4.0M by Dec 2025 via app gamification + digital exclusive offers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