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F2D55"/>
          <w:sz w:val="44"/>
        </w:rPr>
        <w:t>CLEARWAVE COMMUNICATIONS BERHAD</w:t>
      </w:r>
    </w:p>
    <w:p>
      <w:pPr>
        <w:jc w:val="center"/>
      </w:pPr>
      <w:r>
        <w:rPr>
          <w:rFonts w:ascii="Segoe UI" w:hAnsi="Segoe UI"/>
          <w:color w:val="0078D4"/>
          <w:sz w:val="26"/>
        </w:rPr>
        <w:t>Network Excellence &amp; Revenue Growth Strategy | FY2025</w:t>
      </w:r>
    </w:p>
    <w:p/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1. EXECUTIVE OVERVIEW</w:t>
      </w:r>
    </w:p>
    <w:p>
      <w:pPr>
        <w:spacing w:after="120"/>
        <w:ind w:left="0"/>
      </w:pPr>
      <w:r>
        <w:rPr>
          <w:rFonts w:ascii="Segoe UI" w:hAnsi="Segoe UI"/>
          <w:sz w:val="20"/>
        </w:rPr>
        <w:t>ClearWave Communications Berhad (CWB) is Malaysia's second-largest integrated telecommunications group by subscriber base with 14.8 million mobile subscribers, 2.4 million broadband subscribers, and enterprise revenue of MYR 2.1 billion. FY2024 total revenue: MYR 8.4 billion, EBITDA MYR 2.52 billion (30.0% margin). This document outlines CWB's FY2025 strategic priorities including 5G network monetisation, enterprise B2B growth, and the Nexus Home broadband convergence strategy.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2. NETWORK &amp; TECHNOLOGY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2.1 5G Rollout Status</w:t>
      </w:r>
    </w:p>
    <w:p>
      <w:pPr>
        <w:spacing w:after="120"/>
        <w:ind w:left="0"/>
      </w:pPr>
      <w:r>
        <w:rPr>
          <w:rFonts w:ascii="Segoe UI" w:hAnsi="Segoe UI"/>
          <w:sz w:val="20"/>
        </w:rPr>
        <w:t>ClearWave's 5G deployment under the single wholesale network (SWN) framework as an anchor lessee. FY2024 5G coverage: 74.2% population coverage (target: 80% by Dec 2025). 5G enabled subscribers: 2.84 million (19.2% of base). ARPU uplift from 5G-plan subscribers: +MYR 18/month vs 4G average.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Key challenge: 5G ARPU uplift not materialising as expected — consumers not perceiving value differential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Action: ClearWave 5G Experience Zones at 14 malls — launch Q2 2025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B2B 5G: 42 enterprise private network deployments in pipeline — manufacturing, ports, smart factory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mmWave (26GHz) trials in KLCC and Penang CBD — high density outdoor use cases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2.2 Network Quality Benchmarks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Download Speed (5G median): </w:t>
      </w:r>
      <w:r>
        <w:rPr>
          <w:rFonts w:ascii="Segoe UI" w:hAnsi="Segoe UI"/>
          <w:sz w:val="20"/>
        </w:rPr>
        <w:t>284 Mbps — ranked #2 nationally (vs #1 Celcom-Digi 312 Mbps)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5G Coverage (PopCov): </w:t>
      </w:r>
      <w:r>
        <w:rPr>
          <w:rFonts w:ascii="Segoe UI" w:hAnsi="Segoe UI"/>
          <w:sz w:val="20"/>
        </w:rPr>
        <w:t>74.2% — on track for 80% Dec 2025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4G LTE Availability: </w:t>
      </w:r>
      <w:r>
        <w:rPr>
          <w:rFonts w:ascii="Segoe UI" w:hAnsi="Segoe UI"/>
          <w:sz w:val="20"/>
        </w:rPr>
        <w:t>98.4% — market-leading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Network Congestion Index: </w:t>
      </w:r>
      <w:r>
        <w:rPr>
          <w:rFonts w:ascii="Segoe UI" w:hAnsi="Segoe UI"/>
          <w:sz w:val="20"/>
        </w:rPr>
        <w:t>2.8% peak-hour packets dropped — above 2.0% target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Core Network Outage Minutes: </w:t>
      </w:r>
      <w:r>
        <w:rPr>
          <w:rFonts w:ascii="Segoe UI" w:hAnsi="Segoe UI"/>
          <w:sz w:val="20"/>
        </w:rPr>
        <w:t>184 minutes FY2024 — exceeds MCMC Class A licence limit of 120 min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MCMC Compliance Score: </w:t>
      </w:r>
      <w:r>
        <w:rPr>
          <w:rFonts w:ascii="Segoe UI" w:hAnsi="Segoe UI"/>
          <w:sz w:val="20"/>
        </w:rPr>
        <w:t>78.4/100 — penalty notice received Feb 2025 (MYR 2.4M)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3. REVENUE &amp; SUBSCRIBERS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3.1 Subscriber Economics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Postpaid Mobile ARPU: </w:t>
      </w:r>
      <w:r>
        <w:rPr>
          <w:rFonts w:ascii="Segoe UI" w:hAnsi="Segoe UI"/>
          <w:sz w:val="20"/>
        </w:rPr>
        <w:t>MYR 68.4 — flat YoY (churn 1.42%/month)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Prepaid Mobile ARPU: </w:t>
      </w:r>
      <w:r>
        <w:rPr>
          <w:rFonts w:ascii="Segoe UI" w:hAnsi="Segoe UI"/>
          <w:sz w:val="20"/>
        </w:rPr>
        <w:t>MYR 22.8 — declining (-4.2% YoY) — OTT substitution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Home Broadband ARPU: </w:t>
      </w:r>
      <w:r>
        <w:rPr>
          <w:rFonts w:ascii="Segoe UI" w:hAnsi="Segoe UI"/>
          <w:sz w:val="20"/>
        </w:rPr>
        <w:t>MYR 124 — growing (+8.4% YoY via fibre upsell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3.2 Critical Revenue Issues</w:t>
      </w:r>
    </w:p>
    <w:p>
      <w:pPr>
        <w:spacing w:after="120"/>
        <w:ind w:left="0"/>
      </w:pPr>
      <w:r>
        <w:rPr>
          <w:rFonts w:ascii="Segoe UI" w:hAnsi="Segoe UI"/>
          <w:sz w:val="20"/>
        </w:rPr>
        <w:t>Postpaid ARPU has been flat for 4 consecutive quarters. Analysis shows: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Price-sensitive segment (MYR 48-58 plans) growing fastest — margin dilutive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High-value 5G plans (MYR 98+) adoption rate: 12.4% of postpaid base vs 20% target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SIM-only plans cannibalising device bundle plans — handset financing revenue -18% YoY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Roaming revenue recovering but still 62% of pre-pandemic levels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4. ENTERPRISE BUSINESS</w:t>
      </w:r>
    </w:p>
    <w:p>
      <w:pPr>
        <w:spacing w:after="120"/>
        <w:ind w:left="0"/>
      </w:pPr>
      <w:r>
        <w:rPr>
          <w:rFonts w:ascii="Segoe UI" w:hAnsi="Segoe UI"/>
          <w:sz w:val="20"/>
        </w:rPr>
        <w:t>ClearWave Enterprise (B2B) division contributed MYR 2.1B revenue in FY2024 (+18.4% YoY), representing 25% of group revenue. Key enterprise segments: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Government &amp; GLC: </w:t>
      </w:r>
      <w:r>
        <w:rPr>
          <w:rFonts w:ascii="Segoe UI" w:hAnsi="Segoe UI"/>
          <w:sz w:val="20"/>
        </w:rPr>
        <w:t>MYR 680M — JENDELA contracts, KKLIU, JPA connectivity. Renewal due Dec 2025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Banking &amp; Financial Services: </w:t>
      </w:r>
      <w:r>
        <w:rPr>
          <w:rFonts w:ascii="Segoe UI" w:hAnsi="Segoe UI"/>
          <w:sz w:val="20"/>
        </w:rPr>
        <w:t>MYR 420M — SD-WAN, private cloud, cybersecurity. CIMB, RHB, BSN key accounts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Manufacturing &amp; Industrial: </w:t>
      </w:r>
      <w:r>
        <w:rPr>
          <w:rFonts w:ascii="Segoe UI" w:hAnsi="Segoe UI"/>
          <w:sz w:val="20"/>
        </w:rPr>
        <w:t>MYR 384M — Factory 4.0 connectivity, private 5G. Perodua, Panasonic MY, Top Glove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Healthcare: </w:t>
      </w:r>
      <w:r>
        <w:rPr>
          <w:rFonts w:ascii="Segoe UI" w:hAnsi="Segoe UI"/>
          <w:sz w:val="20"/>
        </w:rPr>
        <w:t>MYR 248M — Hospital network connectivity, telemedicine, IoMT. KPJ, Pantai, Prince Court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SME Segment: </w:t>
      </w:r>
      <w:r>
        <w:rPr>
          <w:rFonts w:ascii="Segoe UI" w:hAnsi="Segoe UI"/>
          <w:sz w:val="20"/>
        </w:rPr>
        <w:t>MYR 368M — ClearBiz fibre, SIP trunking, Microsoft Teams calling. 48,000 SME accounts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5. KEY PRIORITIES FY2025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5G Monetisation: </w:t>
      </w:r>
      <w:r>
        <w:rPr>
          <w:rFonts w:ascii="Segoe UI" w:hAnsi="Segoe UI"/>
          <w:sz w:val="20"/>
        </w:rPr>
        <w:t>Launch ClearWave GameBoost 5G bundle (gaming + content + 5G priority). Target 400K new subscribers. Revenue: +MYR 84M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Nexus Home Convergence: </w:t>
      </w:r>
      <w:r>
        <w:rPr>
          <w:rFonts w:ascii="Segoe UI" w:hAnsi="Segoe UI"/>
          <w:sz w:val="20"/>
        </w:rPr>
        <w:t>Bundle mobile + fibre + TV + security in one bill. Target 200K converged households by Dec 2025. ARPU uplift: +MYR 48/household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Enterprise Private 5G: </w:t>
      </w:r>
      <w:r>
        <w:rPr>
          <w:rFonts w:ascii="Segoe UI" w:hAnsi="Segoe UI"/>
          <w:sz w:val="20"/>
        </w:rPr>
        <w:t>Deploy 42 enterprise private 5G networks (pipeline). Revenue per network: MYR 2.4–8.4M over 3 years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Network Quality Fix: </w:t>
      </w:r>
      <w:r>
        <w:rPr>
          <w:rFonts w:ascii="Segoe UI" w:hAnsi="Segoe UI"/>
          <w:sz w:val="20"/>
        </w:rPr>
        <w:t>Reduce core outage to &lt;120 min, congestion to &lt;2.0% by Q3 2025. Budget: MYR 84M additional capex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AI-Powered CX: </w:t>
      </w:r>
      <w:r>
        <w:rPr>
          <w:rFonts w:ascii="Segoe UI" w:hAnsi="Segoe UI"/>
          <w:sz w:val="20"/>
        </w:rPr>
        <w:t>Deploy Copilot-powered customer care — target 35% automation of Level 1 queries, NPS +12 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ClearWave Communications — Network &amp; Revenue Growth Strategy FY2025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