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Strategic Account Plan - Apex Banking Group FY2026</w:t>
      </w:r>
    </w:p>
    <w:p>
      <w:r>
        <w:t>Account: Apex Banking Group | Account Manager: Hadar Caspit | Coverage tier: Tier-1 Strategic | Plan period: FY2026 (Jul 2026 - Jun 2027)</w:t>
      </w:r>
    </w:p>
    <w:p>
      <w:pPr>
        <w:pStyle w:val="Heading1"/>
      </w:pPr>
      <w:r>
        <w:t>1. Account snapshot</w:t>
      </w:r>
    </w:p>
    <w:p>
      <w:r>
        <w:t>Apex Banking Group is the second-largest commercial bank in Malaysia with consolidated assets of MYR 412B, deposit franchise of MYR 318B, and a retail customer base of 4.8M. The relationship has been classified Tier-1 Strategic since FY2023. FY2025 wallet share is estimated at 26%.</w:t>
      </w:r>
    </w:p>
    <w:p>
      <w:pPr>
        <w:pStyle w:val="Heading1"/>
      </w:pPr>
      <w:r>
        <w:t>2. Revenue history and FY2026 target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FY2023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FY2024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FY2025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FY2026 Target</w:t>
            </w:r>
          </w:p>
        </w:tc>
      </w:tr>
      <w:tr>
        <w:tc>
          <w:tcPr>
            <w:tcW w:type="dxa" w:w="1728"/>
          </w:tcPr>
          <w:p>
            <w:r>
              <w:t>Revenue (MYR M)</w:t>
            </w:r>
          </w:p>
        </w:tc>
        <w:tc>
          <w:tcPr>
            <w:tcW w:type="dxa" w:w="1728"/>
          </w:tcPr>
          <w:p>
            <w:r>
              <w:t>38.4</w:t>
            </w:r>
          </w:p>
        </w:tc>
        <w:tc>
          <w:tcPr>
            <w:tcW w:type="dxa" w:w="1728"/>
          </w:tcPr>
          <w:p>
            <w:r>
              <w:t>46.2</w:t>
            </w:r>
          </w:p>
        </w:tc>
        <w:tc>
          <w:tcPr>
            <w:tcW w:type="dxa" w:w="1728"/>
          </w:tcPr>
          <w:p>
            <w:r>
              <w:t>52.8</w:t>
            </w:r>
          </w:p>
        </w:tc>
        <w:tc>
          <w:tcPr>
            <w:tcW w:type="dxa" w:w="1728"/>
          </w:tcPr>
          <w:p>
            <w:r>
              <w:t>62.5</w:t>
            </w:r>
          </w:p>
        </w:tc>
      </w:tr>
      <w:tr>
        <w:tc>
          <w:tcPr>
            <w:tcW w:type="dxa" w:w="1728"/>
          </w:tcPr>
          <w:p>
            <w:r>
              <w:t>Gross margin</w:t>
            </w:r>
          </w:p>
        </w:tc>
        <w:tc>
          <w:tcPr>
            <w:tcW w:type="dxa" w:w="1728"/>
          </w:tcPr>
          <w:p>
            <w:r>
              <w:t>42%</w:t>
            </w:r>
          </w:p>
        </w:tc>
        <w:tc>
          <w:tcPr>
            <w:tcW w:type="dxa" w:w="1728"/>
          </w:tcPr>
          <w:p>
            <w:r>
              <w:t>44%</w:t>
            </w:r>
          </w:p>
        </w:tc>
        <w:tc>
          <w:tcPr>
            <w:tcW w:type="dxa" w:w="1728"/>
          </w:tcPr>
          <w:p>
            <w:r>
              <w:t>45%</w:t>
            </w:r>
          </w:p>
        </w:tc>
        <w:tc>
          <w:tcPr>
            <w:tcW w:type="dxa" w:w="1728"/>
          </w:tcPr>
          <w:p>
            <w:r>
              <w:t>47%</w:t>
            </w:r>
          </w:p>
        </w:tc>
      </w:tr>
      <w:tr>
        <w:tc>
          <w:tcPr>
            <w:tcW w:type="dxa" w:w="1728"/>
          </w:tcPr>
          <w:p>
            <w:r>
              <w:t>Wallet share</w:t>
            </w:r>
          </w:p>
        </w:tc>
        <w:tc>
          <w:tcPr>
            <w:tcW w:type="dxa" w:w="1728"/>
          </w:tcPr>
          <w:p>
            <w:r>
              <w:t>22%</w:t>
            </w:r>
          </w:p>
        </w:tc>
        <w:tc>
          <w:tcPr>
            <w:tcW w:type="dxa" w:w="1728"/>
          </w:tcPr>
          <w:p>
            <w:r>
              <w:t>24%</w:t>
            </w:r>
          </w:p>
        </w:tc>
        <w:tc>
          <w:tcPr>
            <w:tcW w:type="dxa" w:w="1728"/>
          </w:tcPr>
          <w:p>
            <w:r>
              <w:t>26%</w:t>
            </w:r>
          </w:p>
        </w:tc>
        <w:tc>
          <w:tcPr>
            <w:tcW w:type="dxa" w:w="1728"/>
          </w:tcPr>
          <w:p>
            <w:r>
              <w:t>32%</w:t>
            </w:r>
          </w:p>
        </w:tc>
      </w:tr>
      <w:tr>
        <w:tc>
          <w:tcPr>
            <w:tcW w:type="dxa" w:w="1728"/>
          </w:tcPr>
          <w:p>
            <w:r>
              <w:t>Net Promoter Score</w:t>
            </w:r>
          </w:p>
        </w:tc>
        <w:tc>
          <w:tcPr>
            <w:tcW w:type="dxa" w:w="1728"/>
          </w:tcPr>
          <w:p>
            <w:r>
              <w:t>+38</w:t>
            </w:r>
          </w:p>
        </w:tc>
        <w:tc>
          <w:tcPr>
            <w:tcW w:type="dxa" w:w="1728"/>
          </w:tcPr>
          <w:p>
            <w:r>
              <w:t>+44</w:t>
            </w:r>
          </w:p>
        </w:tc>
        <w:tc>
          <w:tcPr>
            <w:tcW w:type="dxa" w:w="1728"/>
          </w:tcPr>
          <w:p>
            <w:r>
              <w:t>+51</w:t>
            </w:r>
          </w:p>
        </w:tc>
        <w:tc>
          <w:tcPr>
            <w:tcW w:type="dxa" w:w="1728"/>
          </w:tcPr>
          <w:p>
            <w:r>
              <w:t>+55</w:t>
            </w:r>
          </w:p>
        </w:tc>
      </w:tr>
    </w:tbl>
    <w:p>
      <w:pPr>
        <w:pStyle w:val="Heading1"/>
      </w:pPr>
      <w:r>
        <w:t>3. Buying centres and stakeholder map</w:t>
      </w:r>
    </w:p>
    <w:p>
      <w:pPr>
        <w:pStyle w:val="ListBullet"/>
      </w:pPr>
      <w:r>
        <w:t>Group CEO - Datuk Azman bin Ibrahim - sponsor (warm)</w:t>
      </w:r>
    </w:p>
    <w:p>
      <w:pPr>
        <w:pStyle w:val="ListBullet"/>
      </w:pPr>
      <w:r>
        <w:t>Group CFO - Catherine Wong - economic buyer (warm)</w:t>
      </w:r>
    </w:p>
    <w:p>
      <w:pPr>
        <w:pStyle w:val="ListBullet"/>
      </w:pPr>
      <w:r>
        <w:t>Group CIO - Vijay Pillai - technical buyer (neutral, leans competitor X)</w:t>
      </w:r>
    </w:p>
    <w:p>
      <w:pPr>
        <w:pStyle w:val="ListBullet"/>
      </w:pPr>
      <w:r>
        <w:t>Head of Retail Banking - Lim Mei Ling - end-user champion (champion)</w:t>
      </w:r>
    </w:p>
    <w:p>
      <w:pPr>
        <w:pStyle w:val="ListBullet"/>
      </w:pPr>
      <w:r>
        <w:t>Head of Procurement - Ahmad Faizal - process gatekeeper (neutral)</w:t>
      </w:r>
    </w:p>
    <w:p>
      <w:pPr>
        <w:pStyle w:val="Heading1"/>
      </w:pPr>
      <w:r>
        <w:t>4. FY2026 plays</w:t>
      </w:r>
    </w:p>
    <w:p>
      <w:pPr>
        <w:pStyle w:val="ListNumber"/>
      </w:pPr>
      <w:r>
        <w:t>Cloud migration extension - 36-month renewal + 4 additional workloads (MYR 8.4M ACV)</w:t>
      </w:r>
    </w:p>
    <w:p>
      <w:pPr>
        <w:pStyle w:val="ListNumber"/>
      </w:pPr>
      <w:r>
        <w:t>AI Copilot rollout to 12,000 retail bankers (MYR 14.2M ACV, M365 E5 base)</w:t>
      </w:r>
    </w:p>
    <w:p>
      <w:pPr>
        <w:pStyle w:val="ListNumber"/>
      </w:pPr>
      <w:r>
        <w:t>Risk modelling co-innovation - shared IP, 2 PoCs already running</w:t>
      </w:r>
    </w:p>
    <w:p>
      <w:pPr>
        <w:pStyle w:val="ListNumber"/>
      </w:pPr>
      <w:r>
        <w:t>Data platform consolidation - replace 3 legacy warehouses (MYR 6.8M services)</w:t>
      </w:r>
    </w:p>
    <w:p>
      <w:pPr>
        <w:pStyle w:val="Heading1"/>
      </w:pPr>
      <w:r>
        <w:t>5. Competitive landscape</w:t>
      </w:r>
    </w:p>
    <w:p>
      <w:r>
        <w:t>Incumbent: Microsoft (us). Active threats: Google Cloud (CIO sponsor), AWS (CTO-level relationship via prior employer). Defensive moves: Q1 executive sponsorship visit; quarterly innovation council; co-funded AI Centre of Excellence.</w:t>
      </w:r>
    </w:p>
    <w:p>
      <w:pPr>
        <w:pStyle w:val="Heading1"/>
      </w:pPr>
      <w:r>
        <w:t>6. Risks and watch-outs</w:t>
      </w:r>
    </w:p>
    <w:p>
      <w:pPr>
        <w:pStyle w:val="ListBullet"/>
      </w:pPr>
      <w:r>
        <w:t>CIO turnover risk - 6-month tenure remaining per market intel</w:t>
      </w:r>
    </w:p>
    <w:p>
      <w:pPr>
        <w:pStyle w:val="ListBullet"/>
      </w:pPr>
      <w:r>
        <w:t>Tier-1 capital pressure may compress FY2026 IT capex</w:t>
      </w:r>
    </w:p>
    <w:p>
      <w:pPr>
        <w:pStyle w:val="ListBullet"/>
      </w:pPr>
      <w:r>
        <w:t>Regulator scrutiny on AI usage (BNM/RH/STD/036)</w:t>
      </w:r>
    </w:p>
    <w:p>
      <w:pPr>
        <w:pStyle w:val="ListBullet"/>
      </w:pPr>
      <w:r>
        <w:t>Talent shortage in their AI team - we need to over-rotate on enablement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