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CEO Monthly Report to Board - April 2026</w:t>
      </w:r>
    </w:p>
    <w:p>
      <w:r>
        <w:t>To: Board of Directors | From: Group CEO | Period: April 2026 | Classification: Board-Confidential</w:t>
      </w:r>
    </w:p>
    <w:p>
      <w:pPr>
        <w:pStyle w:val="Heading1"/>
      </w:pPr>
      <w:r>
        <w:t>1. Executive summary</w:t>
      </w:r>
    </w:p>
    <w:p>
      <w:r>
        <w:t>April closed at MYR 3.84B revenue (98.4% of plan, +6.2% YoY) and MYR 642M EBITDA (94.1% of plan, +3.1% YoY). The 5.9% EBITDA miss is concentrated in two divisions: Plantation (FFB price compression) and Manufacturing (input cost spike). Liquidity is strong at MYR 1.84B cash plus MYR 2.6B undrawn RCF.</w:t>
      </w:r>
    </w:p>
    <w:p>
      <w:pPr>
        <w:pStyle w:val="Heading1"/>
      </w:pPr>
      <w:r>
        <w:t>2. By division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Division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Revenue (MYR 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 Plan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EBITDA (MYR 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 Plan</w:t>
            </w:r>
          </w:p>
        </w:tc>
      </w:tr>
      <w:tr>
        <w:tc>
          <w:tcPr>
            <w:tcW w:type="dxa" w:w="1728"/>
          </w:tcPr>
          <w:p>
            <w:r>
              <w:t>Banking</w:t>
            </w:r>
          </w:p>
        </w:tc>
        <w:tc>
          <w:tcPr>
            <w:tcW w:type="dxa" w:w="1728"/>
          </w:tcPr>
          <w:p>
            <w:r>
              <w:t>928</w:t>
            </w:r>
          </w:p>
        </w:tc>
        <w:tc>
          <w:tcPr>
            <w:tcW w:type="dxa" w:w="1728"/>
          </w:tcPr>
          <w:p>
            <w:r>
              <w:t>+3.2%</w:t>
            </w:r>
          </w:p>
        </w:tc>
        <w:tc>
          <w:tcPr>
            <w:tcW w:type="dxa" w:w="1728"/>
          </w:tcPr>
          <w:p>
            <w:r>
              <w:t>298</w:t>
            </w:r>
          </w:p>
        </w:tc>
        <w:tc>
          <w:tcPr>
            <w:tcW w:type="dxa" w:w="1728"/>
          </w:tcPr>
          <w:p>
            <w:r>
              <w:t>+1.8%</w:t>
            </w:r>
          </w:p>
        </w:tc>
      </w:tr>
      <w:tr>
        <w:tc>
          <w:tcPr>
            <w:tcW w:type="dxa" w:w="1728"/>
          </w:tcPr>
          <w:p>
            <w:r>
              <w:t>Insurance</w:t>
            </w:r>
          </w:p>
        </w:tc>
        <w:tc>
          <w:tcPr>
            <w:tcW w:type="dxa" w:w="1728"/>
          </w:tcPr>
          <w:p>
            <w:r>
              <w:t>482</w:t>
            </w:r>
          </w:p>
        </w:tc>
        <w:tc>
          <w:tcPr>
            <w:tcW w:type="dxa" w:w="1728"/>
          </w:tcPr>
          <w:p>
            <w:r>
              <w:t>+1.4%</w:t>
            </w:r>
          </w:p>
        </w:tc>
        <w:tc>
          <w:tcPr>
            <w:tcW w:type="dxa" w:w="1728"/>
          </w:tcPr>
          <w:p>
            <w:r>
              <w:t>88</w:t>
            </w:r>
          </w:p>
        </w:tc>
        <w:tc>
          <w:tcPr>
            <w:tcW w:type="dxa" w:w="1728"/>
          </w:tcPr>
          <w:p>
            <w:r>
              <w:t>-2.4%</w:t>
            </w:r>
          </w:p>
        </w:tc>
      </w:tr>
      <w:tr>
        <w:tc>
          <w:tcPr>
            <w:tcW w:type="dxa" w:w="1728"/>
          </w:tcPr>
          <w:p>
            <w:r>
              <w:t>Property</w:t>
            </w:r>
          </w:p>
        </w:tc>
        <w:tc>
          <w:tcPr>
            <w:tcW w:type="dxa" w:w="1728"/>
          </w:tcPr>
          <w:p>
            <w:r>
              <w:t>412</w:t>
            </w:r>
          </w:p>
        </w:tc>
        <w:tc>
          <w:tcPr>
            <w:tcW w:type="dxa" w:w="1728"/>
          </w:tcPr>
          <w:p>
            <w:r>
              <w:t>-6.8%</w:t>
            </w:r>
          </w:p>
        </w:tc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-12.4%</w:t>
            </w:r>
          </w:p>
        </w:tc>
      </w:tr>
      <w:tr>
        <w:tc>
          <w:tcPr>
            <w:tcW w:type="dxa" w:w="1728"/>
          </w:tcPr>
          <w:p>
            <w:r>
              <w:t>Plantation</w:t>
            </w:r>
          </w:p>
        </w:tc>
        <w:tc>
          <w:tcPr>
            <w:tcW w:type="dxa" w:w="1728"/>
          </w:tcPr>
          <w:p>
            <w:r>
              <w:t>318</w:t>
            </w:r>
          </w:p>
        </w:tc>
        <w:tc>
          <w:tcPr>
            <w:tcW w:type="dxa" w:w="1728"/>
          </w:tcPr>
          <w:p>
            <w:r>
              <w:t>-14.2%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-32.6%</w:t>
            </w:r>
          </w:p>
        </w:tc>
      </w:tr>
      <w:tr>
        <w:tc>
          <w:tcPr>
            <w:tcW w:type="dxa" w:w="1728"/>
          </w:tcPr>
          <w:p>
            <w:r>
              <w:t>Power</w:t>
            </w:r>
          </w:p>
        </w:tc>
        <w:tc>
          <w:tcPr>
            <w:tcW w:type="dxa" w:w="1728"/>
          </w:tcPr>
          <w:p>
            <w:r>
              <w:t>418</w:t>
            </w:r>
          </w:p>
        </w:tc>
        <w:tc>
          <w:tcPr>
            <w:tcW w:type="dxa" w:w="1728"/>
          </w:tcPr>
          <w:p>
            <w:r>
              <w:t>+2.6%</w:t>
            </w:r>
          </w:p>
        </w:tc>
        <w:tc>
          <w:tcPr>
            <w:tcW w:type="dxa" w:w="1728"/>
          </w:tcPr>
          <w:p>
            <w:r>
              <w:t>128</w:t>
            </w:r>
          </w:p>
        </w:tc>
        <w:tc>
          <w:tcPr>
            <w:tcW w:type="dxa" w:w="1728"/>
          </w:tcPr>
          <w:p>
            <w:r>
              <w:t>+4.2%</w:t>
            </w:r>
          </w:p>
        </w:tc>
      </w:tr>
      <w:tr>
        <w:tc>
          <w:tcPr>
            <w:tcW w:type="dxa" w:w="1728"/>
          </w:tcPr>
          <w:p>
            <w:r>
              <w:t>Retail</w:t>
            </w:r>
          </w:p>
        </w:tc>
        <w:tc>
          <w:tcPr>
            <w:tcW w:type="dxa" w:w="1728"/>
          </w:tcPr>
          <w:p>
            <w:r>
              <w:t>512</w:t>
            </w:r>
          </w:p>
        </w:tc>
        <w:tc>
          <w:tcPr>
            <w:tcW w:type="dxa" w:w="1728"/>
          </w:tcPr>
          <w:p>
            <w:r>
              <w:t>+1.8%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-8.4%</w:t>
            </w:r>
          </w:p>
        </w:tc>
      </w:tr>
      <w:tr>
        <w:tc>
          <w:tcPr>
            <w:tcW w:type="dxa" w:w="1728"/>
          </w:tcPr>
          <w:p>
            <w:r>
              <w:t>Manufacturing</w:t>
            </w:r>
          </w:p>
        </w:tc>
        <w:tc>
          <w:tcPr>
            <w:tcW w:type="dxa" w:w="1728"/>
          </w:tcPr>
          <w:p>
            <w:r>
              <w:t>380</w:t>
            </w:r>
          </w:p>
        </w:tc>
        <w:tc>
          <w:tcPr>
            <w:tcW w:type="dxa" w:w="1728"/>
          </w:tcPr>
          <w:p>
            <w:r>
              <w:t>-4.6%</w:t>
            </w:r>
          </w:p>
        </w:tc>
        <w:tc>
          <w:tcPr>
            <w:tcW w:type="dxa" w:w="1728"/>
          </w:tcPr>
          <w:p>
            <w:r>
              <w:t>-8</w:t>
            </w:r>
          </w:p>
        </w:tc>
        <w:tc>
          <w:tcPr>
            <w:tcW w:type="dxa" w:w="1728"/>
          </w:tcPr>
          <w:p>
            <w:r>
              <w:t>NM</w:t>
            </w:r>
          </w:p>
        </w:tc>
      </w:tr>
      <w:tr>
        <w:tc>
          <w:tcPr>
            <w:tcW w:type="dxa" w:w="1728"/>
          </w:tcPr>
          <w:p>
            <w:r>
              <w:t>Telco</w:t>
            </w:r>
          </w:p>
        </w:tc>
        <w:tc>
          <w:tcPr>
            <w:tcW w:type="dxa" w:w="1728"/>
          </w:tcPr>
          <w:p>
            <w:r>
              <w:t>328</w:t>
            </w:r>
          </w:p>
        </w:tc>
        <w:tc>
          <w:tcPr>
            <w:tcW w:type="dxa" w:w="1728"/>
          </w:tcPr>
          <w:p>
            <w:r>
              <w:t>+2.2%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+0.8%</w:t>
            </w:r>
          </w:p>
        </w:tc>
      </w:tr>
      <w:tr>
        <w:tc>
          <w:tcPr>
            <w:tcW w:type="dxa" w:w="1728"/>
          </w:tcPr>
          <w:p>
            <w:r>
              <w:t>Logistics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+8.4%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+12.4%</w:t>
            </w:r>
          </w:p>
        </w:tc>
      </w:tr>
    </w:tbl>
    <w:p>
      <w:pPr>
        <w:pStyle w:val="Heading1"/>
      </w:pPr>
      <w:r>
        <w:t>3. Capital and treasury</w:t>
      </w:r>
    </w:p>
    <w:p>
      <w:r>
        <w:t>Net debt / EBITDA closed at 2.18x (covenant 3.50x). Average cost of debt 4.62%. FX exposure: USD 412M net short, hedged 78%. Refinancing schedule for FY2026 is fully covered; FY2027 has MYR 1.2B maturity to address by H1.</w:t>
      </w:r>
    </w:p>
    <w:p>
      <w:pPr>
        <w:pStyle w:val="Heading1"/>
      </w:pPr>
      <w:r>
        <w:t>4. Strategic agenda - April update</w:t>
      </w:r>
    </w:p>
    <w:p>
      <w:pPr>
        <w:pStyle w:val="ListBullet"/>
      </w:pPr>
      <w:r>
        <w:t>ZAVA FORWARD 2030 - Pillar 2 (digital) is on track; Pillar 4 (energy transition) slipped 6 weeks</w:t>
      </w:r>
    </w:p>
    <w:p>
      <w:pPr>
        <w:pStyle w:val="ListBullet"/>
      </w:pPr>
      <w:r>
        <w:t>Bandar Zava Phase 2 launch is confirmed for 15 June</w:t>
      </w:r>
    </w:p>
    <w:p>
      <w:pPr>
        <w:pStyle w:val="ListBullet"/>
      </w:pPr>
      <w:r>
        <w:t>Cendana Power acquisition - SPA signing targeted for end-May</w:t>
      </w:r>
    </w:p>
    <w:p>
      <w:pPr>
        <w:pStyle w:val="ListBullet"/>
      </w:pPr>
      <w:r>
        <w:t>Group AI office: 14 deployed agents, 38 in pipeline</w:t>
      </w:r>
    </w:p>
    <w:p>
      <w:pPr>
        <w:pStyle w:val="Heading1"/>
      </w:pPr>
      <w:r>
        <w:t>5. Risks raised at GMC this month</w:t>
      </w:r>
    </w:p>
    <w:p>
      <w:pPr>
        <w:pStyle w:val="ListBullet"/>
      </w:pPr>
      <w:r>
        <w:t>CPO price spike risk to Plantation margins (downside MYR 28M Q4)</w:t>
      </w:r>
    </w:p>
    <w:p>
      <w:pPr>
        <w:pStyle w:val="ListBullet"/>
      </w:pPr>
      <w:r>
        <w:t>BNM stress test results expected end-May - Banking liaison ready</w:t>
      </w:r>
    </w:p>
    <w:p>
      <w:pPr>
        <w:pStyle w:val="ListBullet"/>
      </w:pPr>
      <w:r>
        <w:t>Cyber-security: 1 ransomware attempt foiled by SOC; tabletop scheduled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