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Campaign Brief - Bandar Zava Phase 2A Launch</w:t>
      </w:r>
    </w:p>
    <w:p>
      <w:r>
        <w:t>Brand: Zava Properties | Campaign: Bandar Zava Phase 2A Launch | In-market: 15 Jun - 30 Sep 2026 | Budget: MYR 4.8M | Owner: Sasha Ouellet (Marketing)</w:t>
      </w:r>
    </w:p>
    <w:p>
      <w:pPr>
        <w:pStyle w:val="Heading1"/>
      </w:pPr>
      <w:r>
        <w:t>1. Business objective</w:t>
      </w:r>
    </w:p>
    <w:p>
      <w:r>
        <w:t>Sell-through 320 units (out of 540 launched) within first 6 months at average price of MYR 1,080 per sq ft. Sustain GDV pipeline of MYR 520M.</w:t>
      </w:r>
    </w:p>
    <w:p>
      <w:pPr>
        <w:pStyle w:val="Heading1"/>
      </w:pPr>
      <w:r>
        <w:t>2. Audience</w:t>
      </w:r>
    </w:p>
    <w:p>
      <w:pPr>
        <w:pStyle w:val="ListBullet"/>
      </w:pPr>
      <w:r>
        <w:t>Primary: 32-45 year old upgrader couples, household income MYR 18K-32K/month, Klang Valley</w:t>
      </w:r>
    </w:p>
    <w:p>
      <w:pPr>
        <w:pStyle w:val="ListBullet"/>
      </w:pPr>
      <w:r>
        <w:t>Secondary: First-time buyers with parental co-signers, 28-35, MYR 12K+ household income</w:t>
      </w:r>
    </w:p>
    <w:p>
      <w:pPr>
        <w:pStyle w:val="ListBullet"/>
      </w:pPr>
      <w:r>
        <w:t>Tertiary: Investor buyers, Singapore-based Malaysians, second-home seekers</w:t>
      </w:r>
    </w:p>
    <w:p>
      <w:pPr>
        <w:pStyle w:val="Heading1"/>
      </w:pPr>
      <w:r>
        <w:t>3. Single-minded proposition</w:t>
      </w:r>
    </w:p>
    <w:p>
      <w:r>
        <w:t>Bandar Zava Phase 2A is the only freehold, 35-minute-to-KL township that bundles a 5-acre community park, an international primary school within the master plan, and a 24-hour smart-home concierge - at a sub-MYR 1,200 psf entry price.</w:t>
      </w:r>
    </w:p>
    <w:p>
      <w:pPr>
        <w:pStyle w:val="Heading1"/>
      </w:pPr>
      <w:r>
        <w:t>4. Channel mix and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Budget (MYR)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KPI</w:t>
            </w:r>
          </w:p>
        </w:tc>
      </w:tr>
      <w:tr>
        <w:tc>
          <w:tcPr>
            <w:tcW w:type="dxa" w:w="2160"/>
          </w:tcPr>
          <w:p>
            <w:r>
              <w:t>Digital (Meta + Google + property portals)</w:t>
            </w:r>
          </w:p>
        </w:tc>
        <w:tc>
          <w:tcPr>
            <w:tcW w:type="dxa" w:w="2160"/>
          </w:tcPr>
          <w:p>
            <w:r>
              <w:t>1,920,000</w:t>
            </w:r>
          </w:p>
        </w:tc>
        <w:tc>
          <w:tcPr>
            <w:tcW w:type="dxa" w:w="2160"/>
          </w:tcPr>
          <w:p>
            <w:r>
              <w:t>40%</w:t>
            </w:r>
          </w:p>
        </w:tc>
        <w:tc>
          <w:tcPr>
            <w:tcW w:type="dxa" w:w="2160"/>
          </w:tcPr>
          <w:p>
            <w:r>
              <w:t>Cost per qualified lead</w:t>
            </w:r>
          </w:p>
        </w:tc>
      </w:tr>
      <w:tr>
        <w:tc>
          <w:tcPr>
            <w:tcW w:type="dxa" w:w="2160"/>
          </w:tcPr>
          <w:p>
            <w:r>
              <w:t>OOH (Federal Highway + LDP + NPE)</w:t>
            </w:r>
          </w:p>
        </w:tc>
        <w:tc>
          <w:tcPr>
            <w:tcW w:type="dxa" w:w="2160"/>
          </w:tcPr>
          <w:p>
            <w:r>
              <w:t>720,000</w:t>
            </w:r>
          </w:p>
        </w:tc>
        <w:tc>
          <w:tcPr>
            <w:tcW w:type="dxa" w:w="2160"/>
          </w:tcPr>
          <w:p>
            <w:r>
              <w:t>15%</w:t>
            </w:r>
          </w:p>
        </w:tc>
        <w:tc>
          <w:tcPr>
            <w:tcW w:type="dxa" w:w="2160"/>
          </w:tcPr>
          <w:p>
            <w:r>
              <w:t>Awareness lift</w:t>
            </w:r>
          </w:p>
        </w:tc>
      </w:tr>
      <w:tr>
        <w:tc>
          <w:tcPr>
            <w:tcW w:type="dxa" w:w="2160"/>
          </w:tcPr>
          <w:p>
            <w:r>
              <w:t>Sales gallery activation</w:t>
            </w:r>
          </w:p>
        </w:tc>
        <w:tc>
          <w:tcPr>
            <w:tcW w:type="dxa" w:w="2160"/>
          </w:tcPr>
          <w:p>
            <w:r>
              <w:t>1,080,000</w:t>
            </w:r>
          </w:p>
        </w:tc>
        <w:tc>
          <w:tcPr>
            <w:tcW w:type="dxa" w:w="2160"/>
          </w:tcPr>
          <w:p>
            <w:r>
              <w:t>22.5%</w:t>
            </w:r>
          </w:p>
        </w:tc>
        <w:tc>
          <w:tcPr>
            <w:tcW w:type="dxa" w:w="2160"/>
          </w:tcPr>
          <w:p>
            <w:r>
              <w:t>Walk-in count</w:t>
            </w:r>
          </w:p>
        </w:tc>
      </w:tr>
      <w:tr>
        <w:tc>
          <w:tcPr>
            <w:tcW w:type="dxa" w:w="2160"/>
          </w:tcPr>
          <w:p>
            <w:r>
              <w:t>Influencer + PR</w:t>
            </w:r>
          </w:p>
        </w:tc>
        <w:tc>
          <w:tcPr>
            <w:tcW w:type="dxa" w:w="2160"/>
          </w:tcPr>
          <w:p>
            <w:r>
              <w:t>480,000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Earned reach</w:t>
            </w:r>
          </w:p>
        </w:tc>
      </w:tr>
      <w:tr>
        <w:tc>
          <w:tcPr>
            <w:tcW w:type="dxa" w:w="2160"/>
          </w:tcPr>
          <w:p>
            <w:r>
              <w:t>Print + Radio</w:t>
            </w:r>
          </w:p>
        </w:tc>
        <w:tc>
          <w:tcPr>
            <w:tcW w:type="dxa" w:w="2160"/>
          </w:tcPr>
          <w:p>
            <w:r>
              <w:t>300,000</w:t>
            </w:r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Reach uplift in BM-Chinese segments</w:t>
            </w:r>
          </w:p>
        </w:tc>
      </w:tr>
      <w:tr>
        <w:tc>
          <w:tcPr>
            <w:tcW w:type="dxa" w:w="2160"/>
          </w:tcPr>
          <w:p>
            <w:r>
              <w:t>Contingency</w:t>
            </w:r>
          </w:p>
        </w:tc>
        <w:tc>
          <w:tcPr>
            <w:tcW w:type="dxa" w:w="2160"/>
          </w:tcPr>
          <w:p>
            <w:r>
              <w:t>300,000</w:t>
            </w:r>
          </w:p>
        </w:tc>
        <w:tc>
          <w:tcPr>
            <w:tcW w:type="dxa" w:w="2160"/>
          </w:tcPr>
          <w:p>
            <w:r>
              <w:t>6%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>
      <w:pPr>
        <w:pStyle w:val="Heading1"/>
      </w:pPr>
      <w:r>
        <w:t>5. Creative direction</w:t>
      </w:r>
    </w:p>
    <w:p>
      <w:r>
        <w:t>Two creative streams: (a) aspirational family-life storytelling for upgraders; (b) yield-and-capital-gain rational frame for investor segment. Tone: warm-confident-grounded. Avoid the cliched "luxury skyline" visual language used by competitor X.</w:t>
      </w:r>
    </w:p>
    <w:p>
      <w:pPr>
        <w:pStyle w:val="Heading1"/>
      </w:pPr>
      <w:r>
        <w:t>6. Risks</w:t>
      </w:r>
    </w:p>
    <w:p>
      <w:pPr>
        <w:pStyle w:val="ListBullet"/>
      </w:pPr>
      <w:r>
        <w:t>OPR upcycle could compress affordability by 60-80 bps</w:t>
      </w:r>
    </w:p>
    <w:p>
      <w:pPr>
        <w:pStyle w:val="ListBullet"/>
      </w:pPr>
      <w:r>
        <w:t>Competitor X launching adjacent project 4 weeks later at lower psf</w:t>
      </w:r>
    </w:p>
    <w:p>
      <w:pPr>
        <w:pStyle w:val="ListBullet"/>
      </w:pPr>
      <w:r>
        <w:t>Material price index up 8.4% YoY - margin pressure if discounting kicks 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