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8"/>
        </w:rPr>
        <w:t>E-Commerce Sale Post-Mortem - 4.4 Mega Sale 2026</w:t>
      </w:r>
    </w:p>
    <w:p>
      <w:r>
        <w:t>Event: 4.4 Mega Sale | Dates: 1-4 April 2026 | Reviewer: Hadar Caspit (e-Commerce GM) | Distributed to: Trading Council, Marketing, Operations, Tech</w:t>
      </w:r>
    </w:p>
    <w:p>
      <w:pPr>
        <w:pStyle w:val="Heading1"/>
      </w:pPr>
      <w:r>
        <w:t>1. Outcome vs target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Actual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Variance</w:t>
            </w:r>
          </w:p>
        </w:tc>
      </w:tr>
      <w:tr>
        <w:tc>
          <w:tcPr>
            <w:tcW w:type="dxa" w:w="2160"/>
          </w:tcPr>
          <w:p>
            <w:r>
              <w:t>GMV (MYR M)</w:t>
            </w:r>
          </w:p>
        </w:tc>
        <w:tc>
          <w:tcPr>
            <w:tcW w:type="dxa" w:w="2160"/>
          </w:tcPr>
          <w:p>
            <w:r>
              <w:t>142.0</w:t>
            </w:r>
          </w:p>
        </w:tc>
        <w:tc>
          <w:tcPr>
            <w:tcW w:type="dxa" w:w="2160"/>
          </w:tcPr>
          <w:p>
            <w:r>
              <w:t>128.4</w:t>
            </w:r>
          </w:p>
        </w:tc>
        <w:tc>
          <w:tcPr>
            <w:tcW w:type="dxa" w:w="2160"/>
          </w:tcPr>
          <w:p>
            <w:r>
              <w:t>-9.6%</w:t>
            </w:r>
          </w:p>
        </w:tc>
      </w:tr>
      <w:tr>
        <w:tc>
          <w:tcPr>
            <w:tcW w:type="dxa" w:w="2160"/>
          </w:tcPr>
          <w:p>
            <w:r>
              <w:t>Orders (k)</w:t>
            </w:r>
          </w:p>
        </w:tc>
        <w:tc>
          <w:tcPr>
            <w:tcW w:type="dxa" w:w="2160"/>
          </w:tcPr>
          <w:p>
            <w:r>
              <w:t>420</w:t>
            </w:r>
          </w:p>
        </w:tc>
        <w:tc>
          <w:tcPr>
            <w:tcW w:type="dxa" w:w="2160"/>
          </w:tcPr>
          <w:p>
            <w:r>
              <w:t>388</w:t>
            </w:r>
          </w:p>
        </w:tc>
        <w:tc>
          <w:tcPr>
            <w:tcW w:type="dxa" w:w="2160"/>
          </w:tcPr>
          <w:p>
            <w:r>
              <w:t>-7.6%</w:t>
            </w:r>
          </w:p>
        </w:tc>
      </w:tr>
      <w:tr>
        <w:tc>
          <w:tcPr>
            <w:tcW w:type="dxa" w:w="2160"/>
          </w:tcPr>
          <w:p>
            <w:r>
              <w:t>AOV (MYR)</w:t>
            </w:r>
          </w:p>
        </w:tc>
        <w:tc>
          <w:tcPr>
            <w:tcW w:type="dxa" w:w="2160"/>
          </w:tcPr>
          <w:p>
            <w:r>
              <w:t>338</w:t>
            </w:r>
          </w:p>
        </w:tc>
        <w:tc>
          <w:tcPr>
            <w:tcW w:type="dxa" w:w="2160"/>
          </w:tcPr>
          <w:p>
            <w:r>
              <w:t>331</w:t>
            </w:r>
          </w:p>
        </w:tc>
        <w:tc>
          <w:tcPr>
            <w:tcW w:type="dxa" w:w="2160"/>
          </w:tcPr>
          <w:p>
            <w:r>
              <w:t>-2.1%</w:t>
            </w:r>
          </w:p>
        </w:tc>
      </w:tr>
      <w:tr>
        <w:tc>
          <w:tcPr>
            <w:tcW w:type="dxa" w:w="2160"/>
          </w:tcPr>
          <w:p>
            <w:r>
              <w:t>Conversion rate</w:t>
            </w:r>
          </w:p>
        </w:tc>
        <w:tc>
          <w:tcPr>
            <w:tcW w:type="dxa" w:w="2160"/>
          </w:tcPr>
          <w:p>
            <w:r>
              <w:t>3.4%</w:t>
            </w:r>
          </w:p>
        </w:tc>
        <w:tc>
          <w:tcPr>
            <w:tcW w:type="dxa" w:w="2160"/>
          </w:tcPr>
          <w:p>
            <w:r>
              <w:t>3.1%</w:t>
            </w:r>
          </w:p>
        </w:tc>
        <w:tc>
          <w:tcPr>
            <w:tcW w:type="dxa" w:w="2160"/>
          </w:tcPr>
          <w:p>
            <w:r>
              <w:t>-30 bps</w:t>
            </w:r>
          </w:p>
        </w:tc>
      </w:tr>
      <w:tr>
        <w:tc>
          <w:tcPr>
            <w:tcW w:type="dxa" w:w="2160"/>
          </w:tcPr>
          <w:p>
            <w:r>
              <w:t>Return rate</w:t>
            </w:r>
          </w:p>
        </w:tc>
        <w:tc>
          <w:tcPr>
            <w:tcW w:type="dxa" w:w="2160"/>
          </w:tcPr>
          <w:p>
            <w:r>
              <w:t>8.0%</w:t>
            </w:r>
          </w:p>
        </w:tc>
        <w:tc>
          <w:tcPr>
            <w:tcW w:type="dxa" w:w="2160"/>
          </w:tcPr>
          <w:p>
            <w:r>
              <w:t>11.4%</w:t>
            </w:r>
          </w:p>
        </w:tc>
        <w:tc>
          <w:tcPr>
            <w:tcW w:type="dxa" w:w="2160"/>
          </w:tcPr>
          <w:p>
            <w:r>
              <w:t>+340 bps</w:t>
            </w:r>
          </w:p>
        </w:tc>
      </w:tr>
      <w:tr>
        <w:tc>
          <w:tcPr>
            <w:tcW w:type="dxa" w:w="2160"/>
          </w:tcPr>
          <w:p>
            <w:r>
              <w:t>Customer acquisition</w:t>
            </w:r>
          </w:p>
        </w:tc>
        <w:tc>
          <w:tcPr>
            <w:tcW w:type="dxa" w:w="2160"/>
          </w:tcPr>
          <w:p>
            <w:r>
              <w:t>38,000</w:t>
            </w:r>
          </w:p>
        </w:tc>
        <w:tc>
          <w:tcPr>
            <w:tcW w:type="dxa" w:w="2160"/>
          </w:tcPr>
          <w:p>
            <w:r>
              <w:t>42,800</w:t>
            </w:r>
          </w:p>
        </w:tc>
        <w:tc>
          <w:tcPr>
            <w:tcW w:type="dxa" w:w="2160"/>
          </w:tcPr>
          <w:p>
            <w:r>
              <w:t>+12.6%</w:t>
            </w:r>
          </w:p>
        </w:tc>
      </w:tr>
      <w:tr>
        <w:tc>
          <w:tcPr>
            <w:tcW w:type="dxa" w:w="2160"/>
          </w:tcPr>
          <w:p>
            <w:r>
              <w:t>Repeat-buyer share</w:t>
            </w:r>
          </w:p>
        </w:tc>
        <w:tc>
          <w:tcPr>
            <w:tcW w:type="dxa" w:w="2160"/>
          </w:tcPr>
          <w:p>
            <w:r>
              <w:t>54%</w:t>
            </w:r>
          </w:p>
        </w:tc>
        <w:tc>
          <w:tcPr>
            <w:tcW w:type="dxa" w:w="2160"/>
          </w:tcPr>
          <w:p>
            <w:r>
              <w:t>49%</w:t>
            </w:r>
          </w:p>
        </w:tc>
        <w:tc>
          <w:tcPr>
            <w:tcW w:type="dxa" w:w="2160"/>
          </w:tcPr>
          <w:p>
            <w:r>
              <w:t>-5 pp</w:t>
            </w:r>
          </w:p>
        </w:tc>
      </w:tr>
    </w:tbl>
    <w:p>
      <w:pPr>
        <w:pStyle w:val="Heading1"/>
      </w:pPr>
      <w:r>
        <w:t>2. What worked</w:t>
      </w:r>
    </w:p>
    <w:p>
      <w:pPr>
        <w:pStyle w:val="ListBullet"/>
      </w:pPr>
      <w:r>
        <w:t>New-user acquisition exceeded plan by 12.6% via TikTok creator program</w:t>
      </w:r>
    </w:p>
    <w:p>
      <w:pPr>
        <w:pStyle w:val="ListBullet"/>
      </w:pPr>
      <w:r>
        <w:t>Voucher stacking strategy lifted AOV by MYR 18 vs control cell</w:t>
      </w:r>
    </w:p>
    <w:p>
      <w:pPr>
        <w:pStyle w:val="ListBullet"/>
      </w:pPr>
      <w:r>
        <w:t>Live-commerce stream peak concurrent viewers 84,000 (vs target 60,000)</w:t>
      </w:r>
    </w:p>
    <w:p>
      <w:pPr>
        <w:pStyle w:val="Heading1"/>
      </w:pPr>
      <w:r>
        <w:t>3. What broke</w:t>
      </w:r>
    </w:p>
    <w:p>
      <w:pPr>
        <w:pStyle w:val="ListNumber"/>
      </w:pPr>
      <w:r>
        <w:t>Checkout outage on Day 1 22:00-22:48 - estimated MYR 4.8M GMV loss; root cause: cart-service auto-scaling lag</w:t>
      </w:r>
    </w:p>
    <w:p>
      <w:pPr>
        <w:pStyle w:val="ListNumber"/>
      </w:pPr>
      <w:r>
        <w:t>Payment gateway A timeouts on Day 2 between 14:00-15:30 - declined 2,800 orders worth MYR 920K</w:t>
      </w:r>
    </w:p>
    <w:p>
      <w:pPr>
        <w:pStyle w:val="ListNumber"/>
      </w:pPr>
      <w:r>
        <w:t>Fashion category over-discounted by 4-6 pp vs plan due to inconsistent supplier matching - margin damage MYR 1.2M</w:t>
      </w:r>
    </w:p>
    <w:p>
      <w:pPr>
        <w:pStyle w:val="ListNumber"/>
      </w:pPr>
      <w:r>
        <w:t>Returns surge driven by 3 sellers with poor quality control - now under suspension review</w:t>
      </w:r>
    </w:p>
    <w:p>
      <w:pPr>
        <w:pStyle w:val="Heading1"/>
      </w:pPr>
      <w:r>
        <w:t>4. Lessons for 6.6 Mid-Year Sale</w:t>
      </w:r>
    </w:p>
    <w:p>
      <w:pPr>
        <w:pStyle w:val="ListBullet"/>
      </w:pPr>
      <w:r>
        <w:t>Pre-scale cart and checkout services 96 hours ahead - confirmed with SRE</w:t>
      </w:r>
    </w:p>
    <w:p>
      <w:pPr>
        <w:pStyle w:val="ListBullet"/>
      </w:pPr>
      <w:r>
        <w:t>Dual-rail payment gateway with hot failover (gateway A primary, gateway B 25% mirror)</w:t>
      </w:r>
    </w:p>
    <w:p>
      <w:pPr>
        <w:pStyle w:val="ListBullet"/>
      </w:pPr>
      <w:r>
        <w:t>Discount governance - margin guardrails enforced in PIM at submission time</w:t>
      </w:r>
    </w:p>
    <w:p>
      <w:pPr>
        <w:pStyle w:val="ListBullet"/>
      </w:pPr>
      <w:r>
        <w:t>Seller QA gate - any seller with &gt; 12% return rate auto-removed from campaign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