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Brand Strategy - Mawar Personal Care FY2026</w:t>
      </w:r>
    </w:p>
    <w:p>
      <w:r>
        <w:t>Brand: Mawar | Category: Personal Care - Body Wash, Shampoo, Soap | Owner: Lim Mei Ling (Brand Director) | Period: FY2026</w:t>
      </w:r>
    </w:p>
    <w:p>
      <w:pPr>
        <w:pStyle w:val="Heading1"/>
      </w:pPr>
      <w:r>
        <w:t>1. Where the brand stands today</w:t>
      </w:r>
    </w:p>
    <w:p>
      <w:r>
        <w:t>Mawar is the #3 mass personal-care brand in West Malaysia with 14.2% volume share and 11.8% value share in Body Wash, 12.4% / 10.6% in Shampoo. Brand health scores: Aided awareness 92%, Consideration 38%, P3M purchase 18%. Penetration grew 1.8 points YoY to 41% in target households.</w:t>
      </w:r>
    </w:p>
    <w:p>
      <w:pPr>
        <w:pStyle w:val="Heading1"/>
      </w:pPr>
      <w:r>
        <w:t>2. Strategic question</w:t>
      </w:r>
    </w:p>
    <w:p>
      <w:r>
        <w:t>How do we shift Mawar from a price-fighter brand to a premium-mass brand and lift gross margin from 28% to 34% over 3 years - without losing the loyal MYR 8-12 SKU buyer?</w:t>
      </w:r>
    </w:p>
    <w:p>
      <w:pPr>
        <w:pStyle w:val="Heading1"/>
      </w:pPr>
      <w:r>
        <w:t>3. Brand purpose and proposition</w:t>
      </w:r>
    </w:p>
    <w:p>
      <w:r>
        <w:t>Purpose: Mawar believes everyday self-care is a small act of dignity. Proposition: Salon-grade ingredients, supermarket prices, designed in Malaysia. Three pillars: (1) Botanical efficacy (Centella, Tualang Honey, Pegaga); (2) Halal + dermatologically tested; (3) Refill economy.</w:t>
      </w:r>
    </w:p>
    <w:p>
      <w:pPr>
        <w:pStyle w:val="Heading1"/>
      </w:pPr>
      <w:r>
        <w:t>4. Portfolio reshape FY2026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SKU tier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FY2025 share of revenue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FY2026 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Move</w:t>
            </w:r>
          </w:p>
        </w:tc>
      </w:tr>
      <w:tr>
        <w:tc>
          <w:tcPr>
            <w:tcW w:type="dxa" w:w="2160"/>
          </w:tcPr>
          <w:p>
            <w:r>
              <w:t>Core - MYR 8-12 entry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46%</w:t>
            </w:r>
          </w:p>
        </w:tc>
        <w:tc>
          <w:tcPr>
            <w:tcW w:type="dxa" w:w="2160"/>
          </w:tcPr>
          <w:p>
            <w:r>
              <w:t>Sustain</w:t>
            </w:r>
          </w:p>
        </w:tc>
      </w:tr>
      <w:tr>
        <w:tc>
          <w:tcPr>
            <w:tcW w:type="dxa" w:w="2160"/>
          </w:tcPr>
          <w:p>
            <w:r>
              <w:t>Premium-mass - MYR 14-22</w:t>
            </w:r>
          </w:p>
        </w:tc>
        <w:tc>
          <w:tcPr>
            <w:tcW w:type="dxa" w:w="2160"/>
          </w:tcPr>
          <w:p>
            <w:r>
              <w:t>34%</w:t>
            </w:r>
          </w:p>
        </w:tc>
        <w:tc>
          <w:tcPr>
            <w:tcW w:type="dxa" w:w="2160"/>
          </w:tcPr>
          <w:p>
            <w:r>
              <w:t>42%</w:t>
            </w:r>
          </w:p>
        </w:tc>
        <w:tc>
          <w:tcPr>
            <w:tcW w:type="dxa" w:w="2160"/>
          </w:tcPr>
          <w:p>
            <w:r>
              <w:t>Grow</w:t>
            </w:r>
          </w:p>
        </w:tc>
      </w:tr>
      <w:tr>
        <w:tc>
          <w:tcPr>
            <w:tcW w:type="dxa" w:w="2160"/>
          </w:tcPr>
          <w:p>
            <w:r>
              <w:t>Hero - MYR 28-38 Tualang Honey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</w:tbl>
    <w:p>
      <w:pPr>
        <w:pStyle w:val="Heading1"/>
      </w:pPr>
      <w:r>
        <w:t>5. Communications spine</w:t>
      </w:r>
    </w:p>
    <w:p>
      <w:pPr>
        <w:pStyle w:val="ListBullet"/>
      </w:pPr>
      <w:r>
        <w:t>Hero film: "Lebih daripada wangian" - 60s + 30s + 6s cutdowns</w:t>
      </w:r>
    </w:p>
    <w:p>
      <w:pPr>
        <w:pStyle w:val="ListBullet"/>
      </w:pPr>
      <w:r>
        <w:t>Always-on: 5-week sprint cadence per pillar - TVC + digital + retail media</w:t>
      </w:r>
    </w:p>
    <w:p>
      <w:pPr>
        <w:pStyle w:val="ListBullet"/>
      </w:pPr>
      <w:r>
        <w:t>Influencer roster: 3 Tier-1 lifestyle, 12 Tier-2 dermatology + hair, 80 nano-influencers</w:t>
      </w:r>
    </w:p>
    <w:p>
      <w:pPr>
        <w:pStyle w:val="ListBullet"/>
      </w:pPr>
      <w:r>
        <w:t>In-store: Re-launched gondola with refill station in 480 hypermarket doors by Q2</w:t>
      </w:r>
    </w:p>
    <w:p>
      <w:pPr>
        <w:pStyle w:val="Heading1"/>
      </w:pPr>
      <w:r>
        <w:t>6. KPIs</w:t>
      </w:r>
    </w:p>
    <w:p>
      <w:pPr>
        <w:pStyle w:val="ListBullet"/>
      </w:pPr>
      <w:r>
        <w:t>Value share: 11.8% to 13.6% by end-FY2026</w:t>
      </w:r>
    </w:p>
    <w:p>
      <w:pPr>
        <w:pStyle w:val="ListBullet"/>
      </w:pPr>
      <w:r>
        <w:t>Gross margin: 28% to 31% by end-FY2026, on track to 34% by FY2028</w:t>
      </w:r>
    </w:p>
    <w:p>
      <w:pPr>
        <w:pStyle w:val="ListBullet"/>
      </w:pPr>
      <w:r>
        <w:t>Brand power score (Kantar): 32 to 38</w:t>
      </w:r>
    </w:p>
    <w:p>
      <w:pPr>
        <w:pStyle w:val="ListBullet"/>
      </w:pPr>
      <w:r>
        <w:t>Refill SKU share of total volume: 4% to 12%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