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4E78"/>
        </w:rPr>
        <w:t>Investor Relations Briefing Pack - Group Strategy Update Q1 FY2026</w:t>
      </w:r>
    </w:p>
    <w:p>
      <w:r>
        <w:t>Author: Daichi Maruyama (Head of IR) | Audience: Sell-side analysts, top-30 institutional holders | Distribution date: 15-May-2026 | Classification: For-disclosure (post Bursa filing)</w:t>
      </w:r>
    </w:p>
    <w:p>
      <w:pPr>
        <w:pStyle w:val="Heading1"/>
      </w:pPr>
      <w:r>
        <w:t>1. Strategic framework - ZAVA FORWARD 2030</w:t>
      </w:r>
    </w:p>
    <w:p>
      <w:r>
        <w:t>Our 5-pillar strategy remains unchanged. We are 22 months into the 60-month plan. Pillar 2 (Digital and Customer Experience) and Pillar 3 (Operating Model Transformation) are tracking ahead of plan; Pillar 4 (Energy Transition) is 6 weeks behind original schedule due to renewable project FID delay.</w:t>
      </w:r>
    </w:p>
    <w:p>
      <w:pPr>
        <w:pStyle w:val="Heading1"/>
      </w:pPr>
      <w:r>
        <w:t>2. Pillar-level FY2026 milestones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Pillar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FY2026 Milestone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>
              <w:t>1. Portfolio reshape</w:t>
            </w:r>
          </w:p>
        </w:tc>
        <w:tc>
          <w:tcPr>
            <w:tcW w:type="dxa" w:w="2880"/>
          </w:tcPr>
          <w:p>
            <w:r>
              <w:t>Divest non-core Cendana Aviation (12%)</w:t>
            </w:r>
          </w:p>
        </w:tc>
        <w:tc>
          <w:tcPr>
            <w:tcW w:type="dxa" w:w="2880"/>
          </w:tcPr>
          <w:p>
            <w:r>
              <w:t>SPA signed - completion Q3</w:t>
            </w:r>
          </w:p>
        </w:tc>
      </w:tr>
      <w:tr>
        <w:tc>
          <w:tcPr>
            <w:tcW w:type="dxa" w:w="2880"/>
          </w:tcPr>
          <w:p>
            <w:r>
              <w:t>2. Digital and CX</w:t>
            </w:r>
          </w:p>
        </w:tc>
        <w:tc>
          <w:tcPr>
            <w:tcW w:type="dxa" w:w="2880"/>
          </w:tcPr>
          <w:p>
            <w:r>
              <w:t>Group AI Copilot rollout to 28,000 users</w:t>
            </w:r>
          </w:p>
        </w:tc>
        <w:tc>
          <w:tcPr>
            <w:tcW w:type="dxa" w:w="2880"/>
          </w:tcPr>
          <w:p>
            <w:r>
              <w:t>On-track (14,200 live)</w:t>
            </w:r>
          </w:p>
        </w:tc>
      </w:tr>
      <w:tr>
        <w:tc>
          <w:tcPr>
            <w:tcW w:type="dxa" w:w="2880"/>
          </w:tcPr>
          <w:p>
            <w:r>
              <w:t>3. Operating Model</w:t>
            </w:r>
          </w:p>
        </w:tc>
        <w:tc>
          <w:tcPr>
            <w:tcW w:type="dxa" w:w="2880"/>
          </w:tcPr>
          <w:p>
            <w:r>
              <w:t>Shared Services consolidation - 6 GBS centres into 3</w:t>
            </w:r>
          </w:p>
        </w:tc>
        <w:tc>
          <w:tcPr>
            <w:tcW w:type="dxa" w:w="2880"/>
          </w:tcPr>
          <w:p>
            <w:r>
              <w:t>On-track</w:t>
            </w:r>
          </w:p>
        </w:tc>
      </w:tr>
      <w:tr>
        <w:tc>
          <w:tcPr>
            <w:tcW w:type="dxa" w:w="2880"/>
          </w:tcPr>
          <w:p>
            <w:r>
              <w:t>4. Energy Transition</w:t>
            </w:r>
          </w:p>
        </w:tc>
        <w:tc>
          <w:tcPr>
            <w:tcW w:type="dxa" w:w="2880"/>
          </w:tcPr>
          <w:p>
            <w:r>
              <w:t>500MW renewables operational, 50% reduction in Scope 1+2 GHG vs 2020</w:t>
            </w:r>
          </w:p>
        </w:tc>
        <w:tc>
          <w:tcPr>
            <w:tcW w:type="dxa" w:w="2880"/>
          </w:tcPr>
          <w:p>
            <w:r>
              <w:t>6-week slip</w:t>
            </w:r>
          </w:p>
        </w:tc>
      </w:tr>
      <w:tr>
        <w:tc>
          <w:tcPr>
            <w:tcW w:type="dxa" w:w="2880"/>
          </w:tcPr>
          <w:p>
            <w:r>
              <w:t>5. Talent and Culture</w:t>
            </w:r>
          </w:p>
        </w:tc>
        <w:tc>
          <w:tcPr>
            <w:tcW w:type="dxa" w:w="2880"/>
          </w:tcPr>
          <w:p>
            <w:r>
              <w:t>40% female senior management by FY2027</w:t>
            </w:r>
          </w:p>
        </w:tc>
        <w:tc>
          <w:tcPr>
            <w:tcW w:type="dxa" w:w="2880"/>
          </w:tcPr>
          <w:p>
            <w:r>
              <w:t>On-track (33%)</w:t>
            </w:r>
          </w:p>
        </w:tc>
      </w:tr>
    </w:tbl>
    <w:p>
      <w:pPr>
        <w:pStyle w:val="Heading1"/>
      </w:pPr>
      <w:r>
        <w:t>3. Capital allocation</w:t>
      </w:r>
    </w:p>
    <w:p>
      <w:pPr>
        <w:pStyle w:val="ListBullet"/>
      </w:pPr>
      <w:r>
        <w:t>Targeted dividend payout 50-60% of recurring PAT - unchanged</w:t>
      </w:r>
    </w:p>
    <w:p>
      <w:pPr>
        <w:pStyle w:val="ListBullet"/>
      </w:pPr>
      <w:r>
        <w:t>Capex envelope MYR 4.2B for FY2026 - flat YoY</w:t>
      </w:r>
    </w:p>
    <w:p>
      <w:pPr>
        <w:pStyle w:val="ListBullet"/>
      </w:pPr>
      <w:r>
        <w:t>Net debt / EBITDA target band 1.8x - 2.5x - currently 2.18x</w:t>
      </w:r>
    </w:p>
    <w:p>
      <w:pPr>
        <w:pStyle w:val="ListBullet"/>
      </w:pPr>
      <w:r>
        <w:t>Share buyback authorisation MYR 600M - 38% deployed YTD</w:t>
      </w:r>
    </w:p>
    <w:p>
      <w:pPr>
        <w:pStyle w:val="Heading1"/>
      </w:pPr>
      <w:r>
        <w:t>4. FY2026 guidance reiteration</w:t>
      </w:r>
    </w:p>
    <w:p>
      <w:r>
        <w:t>Group revenue guidance MYR 44.0 - 46.5B (unchanged). Group EBITDA margin 15.0 - 16.0% (unchanged). PAT growth 8-12% YoY (unchanged). FX assumption: USD/MYR 4.42, JPY/MYR 0.029. Commodity: CPO MYR 4,100/t, Brent USD 82/bbl.</w:t>
      </w:r>
    </w:p>
    <w:p>
      <w:pPr>
        <w:pStyle w:val="Heading1"/>
      </w:pPr>
      <w:r>
        <w:t>5. Key risks to monitor</w:t>
      </w:r>
    </w:p>
    <w:p>
      <w:pPr>
        <w:pStyle w:val="ListBullet"/>
      </w:pPr>
      <w:r>
        <w:t>OPR upcycle and impact on retail credit quality</w:t>
      </w:r>
    </w:p>
    <w:p>
      <w:pPr>
        <w:pStyle w:val="ListBullet"/>
      </w:pPr>
      <w:r>
        <w:t>CPO price volatility and impact on Plantation</w:t>
      </w:r>
    </w:p>
    <w:p>
      <w:pPr>
        <w:pStyle w:val="ListBullet"/>
      </w:pPr>
      <w:r>
        <w:t>Renewable project FID schedule</w:t>
      </w:r>
    </w:p>
    <w:p>
      <w:pPr>
        <w:pStyle w:val="ListBullet"/>
      </w:pPr>
      <w:r>
        <w:t>Cyber-security maturity of mid-tier subsidiaries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