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Master Services Agreement (Draft v2.3) - Zava Group and Apex Technology Bhd</w:t>
      </w:r>
    </w:p>
    <w:p>
      <w:r>
        <w:t>Parties: Zava Holdings Berhad (Customer) and Apex Technology Bhd (Supplier) | Document version: v2.3 | Drafter: Lim Mei Ling (Group Legal) | Date: 12-May-2026</w:t>
      </w:r>
    </w:p>
    <w:p>
      <w:pPr>
        <w:pStyle w:val="Heading1"/>
      </w:pPr>
      <w:r>
        <w:t>1. Definitions</w:t>
      </w:r>
    </w:p>
    <w:p>
      <w:r>
        <w:t>In this Agreement, unless the context otherwise requires: (a) "Services" means the managed cloud services described in Schedule 1; (b) "Effective Date" means the date of the last signature on the signature page; (c) "Term" means the period commencing on the Effective Date and ending 36 months thereafter, unless terminated earlier in accordance with Clause 14; (d) "Confidential Information" means any information disclosed by one Party to the other that is marked confidential or would reasonably be understood to be confidential.</w:t>
      </w:r>
    </w:p>
    <w:p>
      <w:pPr>
        <w:pStyle w:val="Heading1"/>
      </w:pPr>
      <w:r>
        <w:t>2. Services and SLAs</w:t>
      </w:r>
    </w:p>
    <w:p>
      <w:pPr>
        <w:pStyle w:val="ListBullet"/>
      </w:pPr>
      <w:r>
        <w:t>Service Catalogue per Schedule 1 - 14 service items</w:t>
      </w:r>
    </w:p>
    <w:p>
      <w:pPr>
        <w:pStyle w:val="ListBullet"/>
      </w:pPr>
      <w:r>
        <w:t>Availability SLA: 99.95% per calendar month - measured per Schedule 2</w:t>
      </w:r>
    </w:p>
    <w:p>
      <w:pPr>
        <w:pStyle w:val="ListBullet"/>
      </w:pPr>
      <w:r>
        <w:t>Service credits cap at 10% of monthly recurring charge</w:t>
      </w:r>
    </w:p>
    <w:p>
      <w:pPr>
        <w:pStyle w:val="ListBullet"/>
      </w:pPr>
      <w:r>
        <w:t>Right of termination if SLA breached in 3 consecutive months &gt; 1% below target</w:t>
      </w:r>
    </w:p>
    <w:p>
      <w:pPr>
        <w:pStyle w:val="Heading1"/>
      </w:pPr>
      <w:r>
        <w:t>3. Commercial terms (commercially-sensitive)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Initial Term</w:t>
            </w:r>
          </w:p>
        </w:tc>
        <w:tc>
          <w:tcPr>
            <w:tcW w:type="dxa" w:w="4320"/>
          </w:tcPr>
          <w:p>
            <w:r>
              <w:t>36 months from Effective Date</w:t>
            </w:r>
          </w:p>
        </w:tc>
      </w:tr>
      <w:tr>
        <w:tc>
          <w:tcPr>
            <w:tcW w:type="dxa" w:w="4320"/>
          </w:tcPr>
          <w:p>
            <w:r>
              <w:t>Annual Service Fee</w:t>
            </w:r>
          </w:p>
        </w:tc>
        <w:tc>
          <w:tcPr>
            <w:tcW w:type="dxa" w:w="4320"/>
          </w:tcPr>
          <w:p>
            <w:r>
              <w:t>MYR 12,400,000 indexed to CPI annually (cap 4%)</w:t>
            </w:r>
          </w:p>
        </w:tc>
      </w:tr>
      <w:tr>
        <w:tc>
          <w:tcPr>
            <w:tcW w:type="dxa" w:w="4320"/>
          </w:tcPr>
          <w:p>
            <w:r>
              <w:t>Payment terms</w:t>
            </w:r>
          </w:p>
        </w:tc>
        <w:tc>
          <w:tcPr>
            <w:tcW w:type="dxa" w:w="4320"/>
          </w:tcPr>
          <w:p>
            <w:r>
              <w:t>30 days from valid e-invoice</w:t>
            </w:r>
          </w:p>
        </w:tc>
      </w:tr>
      <w:tr>
        <w:tc>
          <w:tcPr>
            <w:tcW w:type="dxa" w:w="4320"/>
          </w:tcPr>
          <w:p>
            <w:r>
              <w:t>Late-payment interest</w:t>
            </w:r>
          </w:p>
        </w:tc>
        <w:tc>
          <w:tcPr>
            <w:tcW w:type="dxa" w:w="4320"/>
          </w:tcPr>
          <w:p>
            <w:r>
              <w:t>3-month KLIBOR + 1.5%</w:t>
            </w:r>
          </w:p>
        </w:tc>
      </w:tr>
      <w:tr>
        <w:tc>
          <w:tcPr>
            <w:tcW w:type="dxa" w:w="4320"/>
          </w:tcPr>
          <w:p>
            <w:r>
              <w:t>Renewal</w:t>
            </w:r>
          </w:p>
        </w:tc>
        <w:tc>
          <w:tcPr>
            <w:tcW w:type="dxa" w:w="4320"/>
          </w:tcPr>
          <w:p>
            <w:r>
              <w:t>Automatic renewal 12 months unless 6 months prior notice</w:t>
            </w:r>
          </w:p>
        </w:tc>
      </w:tr>
    </w:tbl>
    <w:p>
      <w:pPr>
        <w:pStyle w:val="Heading1"/>
      </w:pPr>
      <w:r>
        <w:t>4. Confidentiality</w:t>
      </w:r>
    </w:p>
    <w:p>
      <w:r>
        <w:t>Each Party shall keep confidential all Confidential Information of the other Party for the duration of the Term and for 5 years after termination. Exceptions: information that is (a) publicly available without breach; (b) independently developed; (c) required to be disclosed by law or regulator.</w:t>
      </w:r>
    </w:p>
    <w:p>
      <w:pPr>
        <w:pStyle w:val="Heading1"/>
      </w:pPr>
      <w:r>
        <w:t>5. Data protection and security</w:t>
      </w:r>
    </w:p>
    <w:p>
      <w:pPr>
        <w:pStyle w:val="ListBullet"/>
      </w:pPr>
      <w:r>
        <w:t>PDPA 2010 (Malaysia) compliance - Supplier acts as Data Processor</w:t>
      </w:r>
    </w:p>
    <w:p>
      <w:pPr>
        <w:pStyle w:val="ListBullet"/>
      </w:pPr>
      <w:r>
        <w:t>Security: ISO 27001 certification required; annual re-cert evidence to be provided</w:t>
      </w:r>
    </w:p>
    <w:p>
      <w:pPr>
        <w:pStyle w:val="ListBullet"/>
      </w:pPr>
      <w:r>
        <w:t>Data location: Malaysia primary, Singapore DR; written approval for any change</w:t>
      </w:r>
    </w:p>
    <w:p>
      <w:pPr>
        <w:pStyle w:val="ListBullet"/>
      </w:pPr>
      <w:r>
        <w:t>Breach notification: within 24 hours of awareness to the Customer DPO</w:t>
      </w:r>
    </w:p>
    <w:p>
      <w:pPr>
        <w:pStyle w:val="Heading1"/>
      </w:pPr>
      <w:r>
        <w:t>6. Limitation of liability</w:t>
      </w:r>
    </w:p>
    <w:p>
      <w:r>
        <w:t>Each Party's aggregate liability under this Agreement (whether in contract, tort, or otherwise) shall be capped at 100% of the fees paid or payable in the 12 months immediately preceding the event giving rise to the claim. The cap shall not apply to: (a) fraud or wilful misconduct; (b) breach of confidentiality; (c) infringement of intellectual property; (d) breach of data protection obligations; (e) personal injury or death caused by negligence.</w:t>
      </w:r>
    </w:p>
    <w:p>
      <w:pPr>
        <w:pStyle w:val="Heading1"/>
      </w:pPr>
      <w:r>
        <w:t>7. Open items for negotiation</w:t>
      </w:r>
    </w:p>
    <w:p>
      <w:pPr>
        <w:pStyle w:val="ListBullet"/>
      </w:pPr>
      <w:r>
        <w:t>Clause 6 cap - we are seeking 200% of trailing 12-month fees</w:t>
      </w:r>
    </w:p>
    <w:p>
      <w:pPr>
        <w:pStyle w:val="ListBullet"/>
      </w:pPr>
      <w:r>
        <w:t>Clause 4 - mutual NDA period - Supplier wants 3 years; we want 5</w:t>
      </w:r>
    </w:p>
    <w:p>
      <w:pPr>
        <w:pStyle w:val="ListBullet"/>
      </w:pPr>
      <w:r>
        <w:t>Schedule 2 service credits - Supplier wants cap at 5%; we are pushing for 10%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