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Regulated Entity Risk Profile - Apex Banking Group Bhd</w:t>
      </w:r>
    </w:p>
    <w:p>
      <w:r>
        <w:t>Entity: Apex Banking Group Bhd | Regulator file: BNM-CLR-2026-44218 | Reviewing officer: Daichi Maruyama (BNM Banking Supervision Department) | Period: FY2025</w:t>
      </w:r>
    </w:p>
    <w:p>
      <w:pPr>
        <w:pStyle w:val="Heading1"/>
      </w:pPr>
      <w:r>
        <w:t>1. Entity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Banking License</w:t>
            </w:r>
          </w:p>
        </w:tc>
        <w:tc>
          <w:tcPr>
            <w:tcW w:type="dxa" w:w="4320"/>
          </w:tcPr>
          <w:p>
            <w:r>
              <w:t>Commercial Banking License under FSA 2013</w:t>
            </w:r>
          </w:p>
        </w:tc>
      </w:tr>
      <w:tr>
        <w:tc>
          <w:tcPr>
            <w:tcW w:type="dxa" w:w="4320"/>
          </w:tcPr>
          <w:p>
            <w:r>
              <w:t>Total Assets</w:t>
            </w:r>
          </w:p>
        </w:tc>
        <w:tc>
          <w:tcPr>
            <w:tcW w:type="dxa" w:w="4320"/>
          </w:tcPr>
          <w:p>
            <w:r>
              <w:t>MYR 412 billion</w:t>
            </w:r>
          </w:p>
        </w:tc>
      </w:tr>
      <w:tr>
        <w:tc>
          <w:tcPr>
            <w:tcW w:type="dxa" w:w="4320"/>
          </w:tcPr>
          <w:p>
            <w:r>
              <w:t>Tier-1 Capital</w:t>
            </w:r>
          </w:p>
        </w:tc>
        <w:tc>
          <w:tcPr>
            <w:tcW w:type="dxa" w:w="4320"/>
          </w:tcPr>
          <w:p>
            <w:r>
              <w:t>MYR 38.4 billion</w:t>
            </w:r>
          </w:p>
        </w:tc>
      </w:tr>
      <w:tr>
        <w:tc>
          <w:tcPr>
            <w:tcW w:type="dxa" w:w="4320"/>
          </w:tcPr>
          <w:p>
            <w:r>
              <w:t>CET-1 Ratio</w:t>
            </w:r>
          </w:p>
        </w:tc>
        <w:tc>
          <w:tcPr>
            <w:tcW w:type="dxa" w:w="4320"/>
          </w:tcPr>
          <w:p>
            <w:r>
              <w:t>13.84%</w:t>
            </w:r>
          </w:p>
        </w:tc>
      </w:tr>
      <w:tr>
        <w:tc>
          <w:tcPr>
            <w:tcW w:type="dxa" w:w="4320"/>
          </w:tcPr>
          <w:p>
            <w:r>
              <w:t>Risk-Weighted Assets</w:t>
            </w:r>
          </w:p>
        </w:tc>
        <w:tc>
          <w:tcPr>
            <w:tcW w:type="dxa" w:w="4320"/>
          </w:tcPr>
          <w:p>
            <w:r>
              <w:t>MYR 282 billion</w:t>
            </w:r>
          </w:p>
        </w:tc>
      </w:tr>
      <w:tr>
        <w:tc>
          <w:tcPr>
            <w:tcW w:type="dxa" w:w="4320"/>
          </w:tcPr>
          <w:p>
            <w:r>
              <w:t>Branches (MY)</w:t>
            </w:r>
          </w:p>
        </w:tc>
        <w:tc>
          <w:tcPr>
            <w:tcW w:type="dxa" w:w="4320"/>
          </w:tcPr>
          <w:p>
            <w:r>
              <w:t>218 nationwide</w:t>
            </w:r>
          </w:p>
        </w:tc>
      </w:tr>
      <w:tr>
        <w:tc>
          <w:tcPr>
            <w:tcW w:type="dxa" w:w="4320"/>
          </w:tcPr>
          <w:p>
            <w:r>
              <w:t>Employees</w:t>
            </w:r>
          </w:p>
        </w:tc>
        <w:tc>
          <w:tcPr>
            <w:tcW w:type="dxa" w:w="4320"/>
          </w:tcPr>
          <w:p>
            <w:r>
              <w:t>24,800</w:t>
            </w:r>
          </w:p>
        </w:tc>
      </w:tr>
      <w:tr>
        <w:tc>
          <w:tcPr>
            <w:tcW w:type="dxa" w:w="4320"/>
          </w:tcPr>
          <w:p>
            <w:r>
              <w:t>Latest On-site Examination</w:t>
            </w:r>
          </w:p>
        </w:tc>
        <w:tc>
          <w:tcPr>
            <w:tcW w:type="dxa" w:w="4320"/>
          </w:tcPr>
          <w:p>
            <w:r>
              <w:t>Q4 FY2025 (concluded 18-Feb-2026)</w:t>
            </w:r>
          </w:p>
        </w:tc>
      </w:tr>
    </w:tbl>
    <w:p>
      <w:pPr>
        <w:pStyle w:val="Heading1"/>
      </w:pPr>
      <w:r>
        <w:t>2. Risk dimensions - heat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Inherent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Trend</w:t>
            </w:r>
          </w:p>
        </w:tc>
      </w:tr>
      <w:tr>
        <w:tc>
          <w:tcPr>
            <w:tcW w:type="dxa" w:w="1728"/>
          </w:tcPr>
          <w:p>
            <w:r>
              <w:t>Credit Risk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</w:tr>
      <w:tr>
        <w:tc>
          <w:tcPr>
            <w:tcW w:type="dxa" w:w="1728"/>
          </w:tcPr>
          <w:p>
            <w:r>
              <w:t>Market Risk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</w:tr>
      <w:tr>
        <w:tc>
          <w:tcPr>
            <w:tcW w:type="dxa" w:w="1728"/>
          </w:tcPr>
          <w:p>
            <w:r>
              <w:t>Liquidity Risk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</w:tr>
      <w:tr>
        <w:tc>
          <w:tcPr>
            <w:tcW w:type="dxa" w:w="1728"/>
          </w:tcPr>
          <w:p>
            <w:r>
              <w:t>Operational Risk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Increasing</w:t>
            </w:r>
          </w:p>
        </w:tc>
      </w:tr>
      <w:tr>
        <w:tc>
          <w:tcPr>
            <w:tcW w:type="dxa" w:w="1728"/>
          </w:tcPr>
          <w:p>
            <w:r>
              <w:t>IT and Cyber Risk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Increasing</w:t>
            </w:r>
          </w:p>
        </w:tc>
      </w:tr>
      <w:tr>
        <w:tc>
          <w:tcPr>
            <w:tcW w:type="dxa" w:w="1728"/>
          </w:tcPr>
          <w:p>
            <w:r>
              <w:t>Conduct Risk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</w:tr>
      <w:tr>
        <w:tc>
          <w:tcPr>
            <w:tcW w:type="dxa" w:w="1728"/>
          </w:tcPr>
          <w:p>
            <w:r>
              <w:t>AML / CFT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Strong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Stable</w:t>
            </w:r>
          </w:p>
        </w:tc>
      </w:tr>
      <w:tr>
        <w:tc>
          <w:tcPr>
            <w:tcW w:type="dxa" w:w="1728"/>
          </w:tcPr>
          <w:p>
            <w:r>
              <w:t>Climate and ESG Risk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Adequate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Increasing</w:t>
            </w:r>
          </w:p>
        </w:tc>
      </w:tr>
    </w:tbl>
    <w:p>
      <w:pPr>
        <w:pStyle w:val="Heading1"/>
      </w:pPr>
      <w:r>
        <w:t>3. Findings from latest on-site examination</w:t>
      </w:r>
    </w:p>
    <w:p>
      <w:pPr>
        <w:pStyle w:val="ListNumber"/>
      </w:pPr>
      <w:r>
        <w:t>IT Operations - 3 high-severity observations on change management; rectification commitment 30-Jun-2026</w:t>
      </w:r>
    </w:p>
    <w:p>
      <w:pPr>
        <w:pStyle w:val="ListNumber"/>
      </w:pPr>
      <w:r>
        <w:t>Credit Underwriting - SME portfolio concentration above internal threshold; remediation plan accepted</w:t>
      </w:r>
    </w:p>
    <w:p>
      <w:pPr>
        <w:pStyle w:val="ListNumber"/>
      </w:pPr>
      <w:r>
        <w:t>AML KYC refresh - 8.4% backlog in high-risk customer reviews; remediation 31-Dec-2026</w:t>
      </w:r>
    </w:p>
    <w:p>
      <w:pPr>
        <w:pStyle w:val="ListNumber"/>
      </w:pPr>
      <w:r>
        <w:t>Climate stress test - methodology gap on transition risk for Plantation lending; closure by Q4 FY2026</w:t>
      </w:r>
    </w:p>
    <w:p>
      <w:pPr>
        <w:pStyle w:val="Heading1"/>
      </w:pPr>
      <w:r>
        <w:t>4. Supervisory rating and stance</w:t>
      </w:r>
    </w:p>
    <w:p>
      <w:r>
        <w:t>Composite Supervisory Rating: 2 (Satisfactory) - unchanged from previous cycle. Supervisory stance for FY2026: monitor IT operational risk closely; require quarterly progress on AML KYC backlog; escalate to MOU if IT change management findings are not closed by 30-Sep-2026.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