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Group Risk Appetite Statement - FY2026 (Approved)</w:t>
      </w:r>
    </w:p>
    <w:p>
      <w:r>
        <w:t>Document: Group Risk Appetite Statement | Version: 5.0 | Approval: Board Risk Committee 28-Apr-2026; Board ratification 12-May-2026 | Effective: 01-May-2026 through 30-Apr-2027</w:t>
      </w:r>
    </w:p>
    <w:p>
      <w:pPr>
        <w:pStyle w:val="Heading1"/>
      </w:pPr>
      <w:r>
        <w:t>1. Strategic intent</w:t>
      </w:r>
    </w:p>
    <w:p>
      <w:r>
        <w:t>Zava Group will pursue diversified growth across financial services, real economy, and consumer divisions while maintaining a Group Common Equity Tier-1 ratio comfortably above regulatory minimum, investment-grade credit profile, and zero tolerance for financial crime breaches or fatal incidents.</w:t>
      </w:r>
    </w:p>
    <w:p>
      <w:pPr>
        <w:pStyle w:val="Heading1"/>
      </w:pPr>
      <w:r>
        <w:t>2. Quantitative limits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Risk 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Amber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Red</w:t>
            </w:r>
          </w:p>
        </w:tc>
      </w:tr>
      <w:tr>
        <w:tc>
          <w:tcPr>
            <w:tcW w:type="dxa" w:w="1728"/>
          </w:tcPr>
          <w:p>
            <w:r>
              <w:t>Capital</w:t>
            </w:r>
          </w:p>
        </w:tc>
        <w:tc>
          <w:tcPr>
            <w:tcW w:type="dxa" w:w="1728"/>
          </w:tcPr>
          <w:p>
            <w:r>
              <w:t>Group CET-1 ratio</w:t>
            </w:r>
          </w:p>
        </w:tc>
        <w:tc>
          <w:tcPr>
            <w:tcW w:type="dxa" w:w="1728"/>
          </w:tcPr>
          <w:p>
            <w:r>
              <w:t>&gt;= 14.0%</w:t>
            </w:r>
          </w:p>
        </w:tc>
        <w:tc>
          <w:tcPr>
            <w:tcW w:type="dxa" w:w="1728"/>
          </w:tcPr>
          <w:p>
            <w:r>
              <w:t>12.5% - 13.99%</w:t>
            </w:r>
          </w:p>
        </w:tc>
        <w:tc>
          <w:tcPr>
            <w:tcW w:type="dxa" w:w="1728"/>
          </w:tcPr>
          <w:p>
            <w:r>
              <w:t>&lt; 12.5%</w:t>
            </w:r>
          </w:p>
        </w:tc>
      </w:tr>
      <w:tr>
        <w:tc>
          <w:tcPr>
            <w:tcW w:type="dxa" w:w="1728"/>
          </w:tcPr>
          <w:p>
            <w:r>
              <w:t>Capital</w:t>
            </w:r>
          </w:p>
        </w:tc>
        <w:tc>
          <w:tcPr>
            <w:tcW w:type="dxa" w:w="1728"/>
          </w:tcPr>
          <w:p>
            <w:r>
              <w:t>Net Debt / EBITDA</w:t>
            </w:r>
          </w:p>
        </w:tc>
        <w:tc>
          <w:tcPr>
            <w:tcW w:type="dxa" w:w="1728"/>
          </w:tcPr>
          <w:p>
            <w:r>
              <w:t>&lt;= 2.5x</w:t>
            </w:r>
          </w:p>
        </w:tc>
        <w:tc>
          <w:tcPr>
            <w:tcW w:type="dxa" w:w="1728"/>
          </w:tcPr>
          <w:p>
            <w:r>
              <w:t>2.51x - 3.25x</w:t>
            </w:r>
          </w:p>
        </w:tc>
        <w:tc>
          <w:tcPr>
            <w:tcW w:type="dxa" w:w="1728"/>
          </w:tcPr>
          <w:p>
            <w:r>
              <w:t>&gt; 3.25x</w:t>
            </w:r>
          </w:p>
        </w:tc>
      </w:tr>
      <w:tr>
        <w:tc>
          <w:tcPr>
            <w:tcW w:type="dxa" w:w="1728"/>
          </w:tcPr>
          <w:p>
            <w:r>
              <w:t>Liquidity</w:t>
            </w:r>
          </w:p>
        </w:tc>
        <w:tc>
          <w:tcPr>
            <w:tcW w:type="dxa" w:w="1728"/>
          </w:tcPr>
          <w:p>
            <w:r>
              <w:t>Group LCR</w:t>
            </w:r>
          </w:p>
        </w:tc>
        <w:tc>
          <w:tcPr>
            <w:tcW w:type="dxa" w:w="1728"/>
          </w:tcPr>
          <w:p>
            <w:r>
              <w:t>&gt;= 130%</w:t>
            </w:r>
          </w:p>
        </w:tc>
        <w:tc>
          <w:tcPr>
            <w:tcW w:type="dxa" w:w="1728"/>
          </w:tcPr>
          <w:p>
            <w:r>
              <w:t>110% - 129%</w:t>
            </w:r>
          </w:p>
        </w:tc>
        <w:tc>
          <w:tcPr>
            <w:tcW w:type="dxa" w:w="1728"/>
          </w:tcPr>
          <w:p>
            <w:r>
              <w:t>&lt; 110%</w:t>
            </w:r>
          </w:p>
        </w:tc>
      </w:tr>
      <w:tr>
        <w:tc>
          <w:tcPr>
            <w:tcW w:type="dxa" w:w="1728"/>
          </w:tcPr>
          <w:p>
            <w:r>
              <w:t>Credit</w:t>
            </w:r>
          </w:p>
        </w:tc>
        <w:tc>
          <w:tcPr>
            <w:tcW w:type="dxa" w:w="1728"/>
          </w:tcPr>
          <w:p>
            <w:r>
              <w:t>NPL ratio (Banking)</w:t>
            </w:r>
          </w:p>
        </w:tc>
        <w:tc>
          <w:tcPr>
            <w:tcW w:type="dxa" w:w="1728"/>
          </w:tcPr>
          <w:p>
            <w:r>
              <w:t>&lt;= 1.8%</w:t>
            </w:r>
          </w:p>
        </w:tc>
        <w:tc>
          <w:tcPr>
            <w:tcW w:type="dxa" w:w="1728"/>
          </w:tcPr>
          <w:p>
            <w:r>
              <w:t>1.81% - 2.50%</w:t>
            </w:r>
          </w:p>
        </w:tc>
        <w:tc>
          <w:tcPr>
            <w:tcW w:type="dxa" w:w="1728"/>
          </w:tcPr>
          <w:p>
            <w:r>
              <w:t>&gt; 2.50%</w:t>
            </w:r>
          </w:p>
        </w:tc>
      </w:tr>
      <w:tr>
        <w:tc>
          <w:tcPr>
            <w:tcW w:type="dxa" w:w="1728"/>
          </w:tcPr>
          <w:p>
            <w:r>
              <w:t>Market</w:t>
            </w:r>
          </w:p>
        </w:tc>
        <w:tc>
          <w:tcPr>
            <w:tcW w:type="dxa" w:w="1728"/>
          </w:tcPr>
          <w:p>
            <w:r>
              <w:t>VaR at 99% over book</w:t>
            </w:r>
          </w:p>
        </w:tc>
        <w:tc>
          <w:tcPr>
            <w:tcW w:type="dxa" w:w="1728"/>
          </w:tcPr>
          <w:p>
            <w:r>
              <w:t>&lt;= MYR 28M/day</w:t>
            </w:r>
          </w:p>
        </w:tc>
        <w:tc>
          <w:tcPr>
            <w:tcW w:type="dxa" w:w="1728"/>
          </w:tcPr>
          <w:p>
            <w:r>
              <w:t>28-42M/day</w:t>
            </w:r>
          </w:p>
        </w:tc>
        <w:tc>
          <w:tcPr>
            <w:tcW w:type="dxa" w:w="1728"/>
          </w:tcPr>
          <w:p>
            <w:r>
              <w:t>&gt; 42M/day</w:t>
            </w:r>
          </w:p>
        </w:tc>
      </w:tr>
      <w:tr>
        <w:tc>
          <w:tcPr>
            <w:tcW w:type="dxa" w:w="1728"/>
          </w:tcPr>
          <w:p>
            <w:r>
              <w:t>Operational</w:t>
            </w:r>
          </w:p>
        </w:tc>
        <w:tc>
          <w:tcPr>
            <w:tcW w:type="dxa" w:w="1728"/>
          </w:tcPr>
          <w:p>
            <w:r>
              <w:t>Operational loss events &gt; MYR 5M</w:t>
            </w:r>
          </w:p>
        </w:tc>
        <w:tc>
          <w:tcPr>
            <w:tcW w:type="dxa" w:w="1728"/>
          </w:tcPr>
          <w:p>
            <w:r>
              <w:t>&lt;= 4 / yr</w:t>
            </w:r>
          </w:p>
        </w:tc>
        <w:tc>
          <w:tcPr>
            <w:tcW w:type="dxa" w:w="1728"/>
          </w:tcPr>
          <w:p>
            <w:r>
              <w:t>5 - 8 / yr</w:t>
            </w:r>
          </w:p>
        </w:tc>
        <w:tc>
          <w:tcPr>
            <w:tcW w:type="dxa" w:w="1728"/>
          </w:tcPr>
          <w:p>
            <w:r>
              <w:t>&gt; 8 / yr</w:t>
            </w:r>
          </w:p>
        </w:tc>
      </w:tr>
      <w:tr>
        <w:tc>
          <w:tcPr>
            <w:tcW w:type="dxa" w:w="1728"/>
          </w:tcPr>
          <w:p>
            <w:r>
              <w:t>Concentration</w:t>
            </w:r>
          </w:p>
        </w:tc>
        <w:tc>
          <w:tcPr>
            <w:tcW w:type="dxa" w:w="1728"/>
          </w:tcPr>
          <w:p>
            <w:r>
              <w:t>Single name exposure</w:t>
            </w:r>
          </w:p>
        </w:tc>
        <w:tc>
          <w:tcPr>
            <w:tcW w:type="dxa" w:w="1728"/>
          </w:tcPr>
          <w:p>
            <w:r>
              <w:t>&lt;= 8% Tier-1</w:t>
            </w:r>
          </w:p>
        </w:tc>
        <w:tc>
          <w:tcPr>
            <w:tcW w:type="dxa" w:w="1728"/>
          </w:tcPr>
          <w:p>
            <w:r>
              <w:t>8 - 10%</w:t>
            </w:r>
          </w:p>
        </w:tc>
        <w:tc>
          <w:tcPr>
            <w:tcW w:type="dxa" w:w="1728"/>
          </w:tcPr>
          <w:p>
            <w:r>
              <w:t>&gt; 10%</w:t>
            </w:r>
          </w:p>
        </w:tc>
      </w:tr>
      <w:tr>
        <w:tc>
          <w:tcPr>
            <w:tcW w:type="dxa" w:w="1728"/>
          </w:tcPr>
          <w:p>
            <w:r>
              <w:t>ESG</w:t>
            </w:r>
          </w:p>
        </w:tc>
        <w:tc>
          <w:tcPr>
            <w:tcW w:type="dxa" w:w="1728"/>
          </w:tcPr>
          <w:p>
            <w:r>
              <w:t>Scope 1+2 GHG vs glide path</w:t>
            </w:r>
          </w:p>
        </w:tc>
        <w:tc>
          <w:tcPr>
            <w:tcW w:type="dxa" w:w="1728"/>
          </w:tcPr>
          <w:p>
            <w:r>
              <w:t>on-track or better</w:t>
            </w:r>
          </w:p>
        </w:tc>
        <w:tc>
          <w:tcPr>
            <w:tcW w:type="dxa" w:w="1728"/>
          </w:tcPr>
          <w:p>
            <w:r>
              <w:t>within 5% slip</w:t>
            </w:r>
          </w:p>
        </w:tc>
        <w:tc>
          <w:tcPr>
            <w:tcW w:type="dxa" w:w="1728"/>
          </w:tcPr>
          <w:p>
            <w:r>
              <w:t>&gt; 5% slip</w:t>
            </w:r>
          </w:p>
        </w:tc>
      </w:tr>
    </w:tbl>
    <w:p>
      <w:pPr>
        <w:pStyle w:val="Heading1"/>
      </w:pPr>
      <w:r>
        <w:t>3. Qualitative statements</w:t>
      </w:r>
    </w:p>
    <w:p>
      <w:pPr>
        <w:pStyle w:val="ListBullet"/>
      </w:pPr>
      <w:r>
        <w:t>Zero tolerance for breaches of AML, sanctions, and anti-bribery regulations</w:t>
      </w:r>
    </w:p>
    <w:p>
      <w:pPr>
        <w:pStyle w:val="ListBullet"/>
      </w:pPr>
      <w:r>
        <w:t>Zero tolerance for fatalities and serious injuries</w:t>
      </w:r>
    </w:p>
    <w:p>
      <w:pPr>
        <w:pStyle w:val="ListBullet"/>
      </w:pPr>
      <w:r>
        <w:t>Low tolerance for cyber breaches involving customer PII</w:t>
      </w:r>
    </w:p>
    <w:p>
      <w:pPr>
        <w:pStyle w:val="ListBullet"/>
      </w:pPr>
      <w:r>
        <w:t>Low tolerance for material misstatement of financial reporting</w:t>
      </w:r>
    </w:p>
    <w:p>
      <w:pPr>
        <w:pStyle w:val="ListBullet"/>
      </w:pPr>
      <w:r>
        <w:t>Moderate appetite for innovation and new-business launch risk</w:t>
      </w:r>
    </w:p>
    <w:p>
      <w:pPr>
        <w:pStyle w:val="Heading1"/>
      </w:pPr>
      <w:r>
        <w:t>4. Escalation triggers</w:t>
      </w:r>
    </w:p>
    <w:p>
      <w:pPr>
        <w:pStyle w:val="ListNumber"/>
      </w:pPr>
      <w:r>
        <w:t>Any indicator entering Amber - escalation to Group Risk Committee within 10 working days</w:t>
      </w:r>
    </w:p>
    <w:p>
      <w:pPr>
        <w:pStyle w:val="ListNumber"/>
      </w:pPr>
      <w:r>
        <w:t>Any indicator entering Red - immediate escalation to GCEO and Chair of Board Risk Committee within 24 hours</w:t>
      </w:r>
    </w:p>
    <w:p>
      <w:pPr>
        <w:pStyle w:val="ListNumber"/>
      </w:pPr>
      <w:r>
        <w:t>Cumulative breach of 3+ amber indicators - Board notification within 5 working days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