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Strategy Macro Input Pack - Quarterly Scan Q2 FY2026</w:t>
      </w:r>
    </w:p>
    <w:p>
      <w:r>
        <w:t>Owner: Mod Admin (Group Strategy Director) | Distribution: ExCo, Board Strategy Committee | Cut-off: 30 April 2026 | Cycle: Quarterly</w:t>
      </w:r>
    </w:p>
    <w:p>
      <w:pPr>
        <w:pStyle w:val="Heading1"/>
      </w:pPr>
      <w:r>
        <w:t>1. Global outlook in one paragraph</w:t>
      </w:r>
    </w:p>
    <w:p>
      <w:r>
        <w:t>Global growth tracking 2.7% in 2026 (IMF April update, -0.2 vs Jan). US labour market resilient but disinflation slow. ECB beginning rate-cut cycle. China property drag persisting but stimulus offsetting. Geopolitical risk premium on energy elevated.</w:t>
      </w:r>
    </w:p>
    <w:p>
      <w:pPr>
        <w:pStyle w:val="Heading1"/>
      </w:pPr>
      <w:r>
        <w:t>2. Malaysia outlook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Indicator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2025 Actual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2026 Forecast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</w:tr>
      <w:tr>
        <w:tc>
          <w:tcPr>
            <w:tcW w:type="dxa" w:w="2160"/>
          </w:tcPr>
          <w:p>
            <w:r>
              <w:t>Real GDP growth</w:t>
            </w:r>
          </w:p>
        </w:tc>
        <w:tc>
          <w:tcPr>
            <w:tcW w:type="dxa" w:w="2160"/>
          </w:tcPr>
          <w:p>
            <w:r>
              <w:t>4.6%</w:t>
            </w:r>
          </w:p>
        </w:tc>
        <w:tc>
          <w:tcPr>
            <w:tcW w:type="dxa" w:w="2160"/>
          </w:tcPr>
          <w:p>
            <w:r>
              <w:t>4.8% (range 4.5-5.2%)</w:t>
            </w:r>
          </w:p>
        </w:tc>
        <w:tc>
          <w:tcPr>
            <w:tcW w:type="dxa" w:w="2160"/>
          </w:tcPr>
          <w:p>
            <w:r>
              <w:t>BNM Annual Report</w:t>
            </w:r>
          </w:p>
        </w:tc>
      </w:tr>
      <w:tr>
        <w:tc>
          <w:tcPr>
            <w:tcW w:type="dxa" w:w="2160"/>
          </w:tcPr>
          <w:p>
            <w:r>
              <w:t>Headline CPI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2.4-3.0% (subsidy rationalisation)</w:t>
            </w:r>
          </w:p>
        </w:tc>
        <w:tc>
          <w:tcPr>
            <w:tcW w:type="dxa" w:w="2160"/>
          </w:tcPr>
          <w:p>
            <w:r>
              <w:t>BNM</w:t>
            </w:r>
          </w:p>
        </w:tc>
      </w:tr>
      <w:tr>
        <w:tc>
          <w:tcPr>
            <w:tcW w:type="dxa" w:w="2160"/>
          </w:tcPr>
          <w:p>
            <w:r>
              <w:t>OPR</w:t>
            </w:r>
          </w:p>
        </w:tc>
        <w:tc>
          <w:tcPr>
            <w:tcW w:type="dxa" w:w="2160"/>
          </w:tcPr>
          <w:p>
            <w:r>
              <w:t>3.00%</w:t>
            </w:r>
          </w:p>
        </w:tc>
        <w:tc>
          <w:tcPr>
            <w:tcW w:type="dxa" w:w="2160"/>
          </w:tcPr>
          <w:p>
            <w:r>
              <w:t>3.00% (hold)</w:t>
            </w:r>
          </w:p>
        </w:tc>
        <w:tc>
          <w:tcPr>
            <w:tcW w:type="dxa" w:w="2160"/>
          </w:tcPr>
          <w:p>
            <w:r>
              <w:t>BNM Statement Mar-26</w:t>
            </w:r>
          </w:p>
        </w:tc>
      </w:tr>
      <w:tr>
        <w:tc>
          <w:tcPr>
            <w:tcW w:type="dxa" w:w="2160"/>
          </w:tcPr>
          <w:p>
            <w:r>
              <w:t>USD/MYR average</w:t>
            </w:r>
          </w:p>
        </w:tc>
        <w:tc>
          <w:tcPr>
            <w:tcW w:type="dxa" w:w="2160"/>
          </w:tcPr>
          <w:p>
            <w:r>
              <w:t>4.62</w:t>
            </w:r>
          </w:p>
        </w:tc>
        <w:tc>
          <w:tcPr>
            <w:tcW w:type="dxa" w:w="2160"/>
          </w:tcPr>
          <w:p>
            <w:r>
              <w:t>4.42 (range 4.35-4.55)</w:t>
            </w:r>
          </w:p>
        </w:tc>
        <w:tc>
          <w:tcPr>
            <w:tcW w:type="dxa" w:w="2160"/>
          </w:tcPr>
          <w:p>
            <w:r>
              <w:t>Consensus</w:t>
            </w:r>
          </w:p>
        </w:tc>
      </w:tr>
      <w:tr>
        <w:tc>
          <w:tcPr>
            <w:tcW w:type="dxa" w:w="2160"/>
          </w:tcPr>
          <w:p>
            <w:r>
              <w:t>Brent average (USD/bbl)</w:t>
            </w:r>
          </w:p>
        </w:tc>
        <w:tc>
          <w:tcPr>
            <w:tcW w:type="dxa" w:w="2160"/>
          </w:tcPr>
          <w:p>
            <w:r>
              <w:t>82</w:t>
            </w:r>
          </w:p>
        </w:tc>
        <w:tc>
          <w:tcPr>
            <w:tcW w:type="dxa" w:w="2160"/>
          </w:tcPr>
          <w:p>
            <w:r>
              <w:t>82 (range 75-88)</w:t>
            </w:r>
          </w:p>
        </w:tc>
        <w:tc>
          <w:tcPr>
            <w:tcW w:type="dxa" w:w="2160"/>
          </w:tcPr>
          <w:p>
            <w:r>
              <w:t>EIA STEO</w:t>
            </w:r>
          </w:p>
        </w:tc>
      </w:tr>
      <w:tr>
        <w:tc>
          <w:tcPr>
            <w:tcW w:type="dxa" w:w="2160"/>
          </w:tcPr>
          <w:p>
            <w:r>
              <w:t>CPO average (MYR/t)</w:t>
            </w:r>
          </w:p>
        </w:tc>
        <w:tc>
          <w:tcPr>
            <w:tcW w:type="dxa" w:w="2160"/>
          </w:tcPr>
          <w:p>
            <w:r>
              <w:t>4,180</w:t>
            </w:r>
          </w:p>
        </w:tc>
        <w:tc>
          <w:tcPr>
            <w:tcW w:type="dxa" w:w="2160"/>
          </w:tcPr>
          <w:p>
            <w:r>
              <w:t>4,100 (range 3,800-4,400)</w:t>
            </w:r>
          </w:p>
        </w:tc>
        <w:tc>
          <w:tcPr>
            <w:tcW w:type="dxa" w:w="2160"/>
          </w:tcPr>
          <w:p>
            <w:r>
              <w:t>MPOB</w:t>
            </w:r>
          </w:p>
        </w:tc>
      </w:tr>
    </w:tbl>
    <w:p>
      <w:pPr>
        <w:pStyle w:val="Heading1"/>
      </w:pPr>
      <w:r>
        <w:t>3. Indonesia outlook</w:t>
      </w:r>
    </w:p>
    <w:p>
      <w:pPr>
        <w:pStyle w:val="ListBullet"/>
      </w:pPr>
      <w:r>
        <w:t>GDP growth 5.1% in 2026 vs 5.0% in 2025 (Bappenas + consensus)</w:t>
      </w:r>
    </w:p>
    <w:p>
      <w:pPr>
        <w:pStyle w:val="ListBullet"/>
      </w:pPr>
      <w:r>
        <w:t>BI Rate held at 6.00%; cuts expected H2 if Fed eases</w:t>
      </w:r>
    </w:p>
    <w:p>
      <w:pPr>
        <w:pStyle w:val="ListBullet"/>
      </w:pPr>
      <w:r>
        <w:t>IDR/USD average 15,800; trend depreciation pressure</w:t>
      </w:r>
    </w:p>
    <w:p>
      <w:pPr>
        <w:pStyle w:val="ListBullet"/>
      </w:pPr>
      <w:r>
        <w:t>Coal price USD 118/t (down 8% YoY)</w:t>
      </w:r>
    </w:p>
    <w:p>
      <w:pPr>
        <w:pStyle w:val="Heading1"/>
      </w:pPr>
      <w:r>
        <w:t>4. Sector-level signals</w:t>
      </w:r>
    </w:p>
    <w:p>
      <w:pPr>
        <w:pStyle w:val="ListNumber"/>
      </w:pPr>
      <w:r>
        <w:t>Banking - NIM pressure persists; CET-1 strong; loan growth 4-5% range</w:t>
      </w:r>
    </w:p>
    <w:p>
      <w:pPr>
        <w:pStyle w:val="ListNumber"/>
      </w:pPr>
      <w:r>
        <w:t>Property - residential transactions +2.8% YoY; commercial soft</w:t>
      </w:r>
    </w:p>
    <w:p>
      <w:pPr>
        <w:pStyle w:val="ListNumber"/>
      </w:pPr>
      <w:r>
        <w:t>Plantation - CPO range-bound MYR 3,800-4,400; FFB yield improving</w:t>
      </w:r>
    </w:p>
    <w:p>
      <w:pPr>
        <w:pStyle w:val="ListNumber"/>
      </w:pPr>
      <w:r>
        <w:t>Power - peninsular reserve margin tight in Q3; gas prices volatile</w:t>
      </w:r>
    </w:p>
    <w:p>
      <w:pPr>
        <w:pStyle w:val="ListNumber"/>
      </w:pPr>
      <w:r>
        <w:t>Telco - ARPU stable; 5G capex steady; Pillar 2 tower-sharing accelerating</w:t>
      </w:r>
    </w:p>
    <w:p>
      <w:pPr>
        <w:pStyle w:val="ListNumber"/>
      </w:pPr>
      <w:r>
        <w:t>Retail - K-shaped recovery; premium-mass growing, mass-market flat</w:t>
      </w:r>
    </w:p>
    <w:p>
      <w:pPr>
        <w:pStyle w:val="Heading1"/>
      </w:pPr>
      <w:r>
        <w:t>5. Strategic implications for ExCo discussion</w:t>
      </w:r>
    </w:p>
    <w:p>
      <w:pPr>
        <w:pStyle w:val="ListBullet"/>
      </w:pPr>
      <w:r>
        <w:t>FX hedging - dollar strength assumption to be re-stressed at next FX Committee</w:t>
      </w:r>
    </w:p>
    <w:p>
      <w:pPr>
        <w:pStyle w:val="ListBullet"/>
      </w:pPr>
      <w:r>
        <w:t>Plantation - revisit FY2026 CPO assumption (currently MYR 4,100)</w:t>
      </w:r>
    </w:p>
    <w:p>
      <w:pPr>
        <w:pStyle w:val="ListBullet"/>
      </w:pPr>
      <w:r>
        <w:t>Banking - prepare for higher provision overlay if subsidy rationalisation impacts B40 credit quality</w:t>
      </w:r>
    </w:p>
    <w:p>
      <w:pPr>
        <w:pStyle w:val="ListBullet"/>
      </w:pPr>
      <w:r>
        <w:t>Energy Transition - accelerate renewables FID despite project delay (window narrowing)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