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LOAN APPLICATION</w:t>
      </w:r>
    </w:p>
    <w:p>
      <w:pPr>
        <w:pStyle w:val="Heading1"/>
      </w:pPr>
      <w:r>
        <w:t>Project: Pan-Peninsular Highway Toll Road – Section 4B Extension</w:t>
      </w:r>
    </w:p>
    <w:tbl>
      <w:tblPr>
        <w:tblStyle w:val="TableGrid"/>
        <w:tblW w:type="auto" w:w="0"/>
        <w:tblLook w:firstColumn="1" w:firstRow="1" w:lastColumn="0" w:lastRow="0" w:noHBand="0" w:noVBand="1" w:val="04A0"/>
      </w:tblPr>
      <w:tblGrid>
        <w:gridCol w:w="4320"/>
        <w:gridCol w:w="4320"/>
      </w:tblGrid>
      <w:tr>
        <w:tc>
          <w:tcPr>
            <w:tcW w:type="dxa" w:w="4320"/>
          </w:tcPr>
          <w:p>
            <w:r>
              <w:t>Applicant</w:t>
            </w:r>
          </w:p>
        </w:tc>
        <w:tc>
          <w:tcPr>
            <w:tcW w:type="dxa" w:w="4320"/>
          </w:tcPr>
          <w:p>
            <w:r>
              <w:t>PT Marga Utama Pacific (Apex)</w:t>
            </w:r>
          </w:p>
        </w:tc>
      </w:tr>
      <w:tr>
        <w:tc>
          <w:tcPr>
            <w:tcW w:type="dxa" w:w="4320"/>
          </w:tcPr>
          <w:p>
            <w:r>
              <w:t>Date</w:t>
            </w:r>
          </w:p>
        </w:tc>
        <w:tc>
          <w:tcPr>
            <w:tcW w:type="dxa" w:w="4320"/>
          </w:tcPr>
          <w:p>
            <w:r>
              <w:t>14 March 2025</w:t>
            </w:r>
          </w:p>
        </w:tc>
      </w:tr>
      <w:tr>
        <w:tc>
          <w:tcPr>
            <w:tcW w:type="dxa" w:w="4320"/>
          </w:tcPr>
          <w:p>
            <w:r>
              <w:t>Loan Amount Requested</w:t>
            </w:r>
          </w:p>
        </w:tc>
        <w:tc>
          <w:tcPr>
            <w:tcW w:type="dxa" w:w="4320"/>
          </w:tcPr>
          <w:p>
            <w:r>
              <w:t>MYR 2.35 Trillion</w:t>
            </w:r>
          </w:p>
        </w:tc>
      </w:tr>
      <w:tr>
        <w:tc>
          <w:tcPr>
            <w:tcW w:type="dxa" w:w="4320"/>
          </w:tcPr>
          <w:p>
            <w:r>
              <w:t>Tenor</w:t>
            </w:r>
          </w:p>
        </w:tc>
        <w:tc>
          <w:tcPr>
            <w:tcW w:type="dxa" w:w="4320"/>
          </w:tcPr>
          <w:p>
            <w:r>
              <w:t>20 years</w:t>
            </w:r>
          </w:p>
        </w:tc>
      </w:tr>
      <w:tr>
        <w:tc>
          <w:tcPr>
            <w:tcW w:type="dxa" w:w="4320"/>
          </w:tcPr>
          <w:p>
            <w:r>
              <w:t>Grace Period</w:t>
            </w:r>
          </w:p>
        </w:tc>
        <w:tc>
          <w:tcPr>
            <w:tcW w:type="dxa" w:w="4320"/>
          </w:tcPr>
          <w:p>
            <w:r>
              <w:t>3 years</w:t>
            </w:r>
          </w:p>
        </w:tc>
      </w:tr>
      <w:tr>
        <w:tc>
          <w:tcPr>
            <w:tcW w:type="dxa" w:w="4320"/>
          </w:tcPr>
          <w:p>
            <w:r>
              <w:t>Interest Rate</w:t>
            </w:r>
          </w:p>
        </w:tc>
        <w:tc>
          <w:tcPr>
            <w:tcW w:type="dxa" w:w="4320"/>
          </w:tcPr>
          <w:p>
            <w:r>
              <w:t>Fixed 8.75% p.a.</w:t>
            </w:r>
          </w:p>
        </w:tc>
      </w:tr>
      <w:tr>
        <w:tc>
          <w:tcPr>
            <w:tcW w:type="dxa" w:w="4320"/>
          </w:tcPr>
          <w:p>
            <w:r>
              <w:t>Purpose</w:t>
            </w:r>
          </w:p>
        </w:tc>
        <w:tc>
          <w:tcPr>
            <w:tcW w:type="dxa" w:w="4320"/>
          </w:tcPr>
          <w:p>
            <w:r>
              <w:t>Construction financing for 47 km toll road extension, Semarang–Demak corridor</w:t>
            </w:r>
          </w:p>
        </w:tc>
      </w:tr>
      <w:tr>
        <w:tc>
          <w:tcPr>
            <w:tcW w:type="dxa" w:w="4320"/>
          </w:tcPr>
          <w:p>
            <w:r>
              <w:t>Collateral</w:t>
            </w:r>
          </w:p>
        </w:tc>
        <w:tc>
          <w:tcPr>
            <w:tcW w:type="dxa" w:w="4320"/>
          </w:tcPr>
          <w:p>
            <w:r>
              <w:t>First ranking fixed charge over project assets; assignment of toll concession rights</w:t>
            </w:r>
          </w:p>
        </w:tc>
      </w:tr>
    </w:tbl>
    <w:p>
      <w:pPr>
        <w:pStyle w:val="Heading2"/>
      </w:pPr>
      <w:r>
        <w:t>1. Project Overview</w:t>
      </w:r>
    </w:p>
    <w:p>
      <w:r>
        <w:t>PT Marga Utama Pacific (Apex) is a special purpose vehicle established in 2019 to develop, construct, and operate the Pan-Peninsular Highway Toll Road Section 4B Extension. The 47-kilometre corridor connects the Semarang port interchange to the Demak regency boundary, reducing freight transit time by an estimated 38% and supporting Java's industrial corridor logistics.</w:t>
      </w:r>
    </w:p>
    <w:p>
      <w:r>
        <w:t>The project holds a 45-year Build-Operate-Transfer (BOT) concession granted by BPJT (Badan Pengatur Jalan Tol) under Ministry of Public Works Decree No. 1247/KPTS/M/2020. Construction is 62% complete as of Q4 2024, with commercial operations targeted for Q3 2026.</w:t>
      </w:r>
    </w:p>
    <w:p>
      <w:pPr>
        <w:pStyle w:val="Heading2"/>
      </w:pPr>
      <w:r>
        <w:t>2. Financial Projections</w:t>
      </w:r>
    </w:p>
    <w:p>
      <w:r>
        <w:t>Key financial assumptions and projections (base case):</w:t>
      </w:r>
    </w:p>
    <w:tbl>
      <w:tblPr>
        <w:tblStyle w:val="TableGrid"/>
        <w:tblW w:type="auto" w:w="0"/>
        <w:tblLook w:firstColumn="1" w:firstRow="1" w:lastColumn="0" w:lastRow="0" w:noHBand="0" w:noVBand="1" w:val="04A0"/>
      </w:tblPr>
      <w:tblGrid>
        <w:gridCol w:w="4320"/>
        <w:gridCol w:w="4320"/>
      </w:tblGrid>
      <w:tr>
        <w:tc>
          <w:tcPr>
            <w:tcW w:type="dxa" w:w="4320"/>
          </w:tcPr>
          <w:p>
            <w:r>
              <w:t>Revenue Year 1 (Operations)</w:t>
            </w:r>
          </w:p>
        </w:tc>
        <w:tc>
          <w:tcPr>
            <w:tcW w:type="dxa" w:w="4320"/>
          </w:tcPr>
          <w:p>
            <w:r>
              <w:t>MYR 312 Billion</w:t>
            </w:r>
          </w:p>
        </w:tc>
      </w:tr>
      <w:tr>
        <w:tc>
          <w:tcPr>
            <w:tcW w:type="dxa" w:w="4320"/>
          </w:tcPr>
          <w:p>
            <w:r>
              <w:t>Revenue Year 5</w:t>
            </w:r>
          </w:p>
        </w:tc>
        <w:tc>
          <w:tcPr>
            <w:tcW w:type="dxa" w:w="4320"/>
          </w:tcPr>
          <w:p>
            <w:r>
              <w:t>MYR 487 Billion</w:t>
            </w:r>
          </w:p>
        </w:tc>
      </w:tr>
      <w:tr>
        <w:tc>
          <w:tcPr>
            <w:tcW w:type="dxa" w:w="4320"/>
          </w:tcPr>
          <w:p>
            <w:r>
              <w:t>Revenue Year 10</w:t>
            </w:r>
          </w:p>
        </w:tc>
        <w:tc>
          <w:tcPr>
            <w:tcW w:type="dxa" w:w="4320"/>
          </w:tcPr>
          <w:p>
            <w:r>
              <w:t>MYR 694 Billion</w:t>
            </w:r>
          </w:p>
        </w:tc>
      </w:tr>
      <w:tr>
        <w:tc>
          <w:tcPr>
            <w:tcW w:type="dxa" w:w="4320"/>
          </w:tcPr>
          <w:p>
            <w:r>
              <w:t>EBITDA Margin (stabilised)</w:t>
            </w:r>
          </w:p>
        </w:tc>
        <w:tc>
          <w:tcPr>
            <w:tcW w:type="dxa" w:w="4320"/>
          </w:tcPr>
          <w:p>
            <w:r>
              <w:t>68%</w:t>
            </w:r>
          </w:p>
        </w:tc>
      </w:tr>
      <w:tr>
        <w:tc>
          <w:tcPr>
            <w:tcW w:type="dxa" w:w="4320"/>
          </w:tcPr>
          <w:p>
            <w:r>
              <w:t>Debt Service Coverage Ratio (DSCR) – Year 1</w:t>
            </w:r>
          </w:p>
        </w:tc>
        <w:tc>
          <w:tcPr>
            <w:tcW w:type="dxa" w:w="4320"/>
          </w:tcPr>
          <w:p>
            <w:r>
              <w:t>1.18x</w:t>
            </w:r>
          </w:p>
        </w:tc>
      </w:tr>
      <w:tr>
        <w:tc>
          <w:tcPr>
            <w:tcW w:type="dxa" w:w="4320"/>
          </w:tcPr>
          <w:p>
            <w:r>
              <w:t>DSCR – Average (Years 1–10)</w:t>
            </w:r>
          </w:p>
        </w:tc>
        <w:tc>
          <w:tcPr>
            <w:tcW w:type="dxa" w:w="4320"/>
          </w:tcPr>
          <w:p>
            <w:r>
              <w:t>1.42x</w:t>
            </w:r>
          </w:p>
        </w:tc>
      </w:tr>
      <w:tr>
        <w:tc>
          <w:tcPr>
            <w:tcW w:type="dxa" w:w="4320"/>
          </w:tcPr>
          <w:p>
            <w:r>
              <w:t>Minimum DSCR Covenant</w:t>
            </w:r>
          </w:p>
        </w:tc>
        <w:tc>
          <w:tcPr>
            <w:tcW w:type="dxa" w:w="4320"/>
          </w:tcPr>
          <w:p>
            <w:r>
              <w:t>1.10x</w:t>
            </w:r>
          </w:p>
        </w:tc>
      </w:tr>
      <w:tr>
        <w:tc>
          <w:tcPr>
            <w:tcW w:type="dxa" w:w="4320"/>
          </w:tcPr>
          <w:p>
            <w:r>
              <w:t>Loan-to-Value (LTV)</w:t>
            </w:r>
          </w:p>
        </w:tc>
        <w:tc>
          <w:tcPr>
            <w:tcW w:type="dxa" w:w="4320"/>
          </w:tcPr>
          <w:p>
            <w:r>
              <w:t>74%</w:t>
            </w:r>
          </w:p>
        </w:tc>
      </w:tr>
      <w:tr>
        <w:tc>
          <w:tcPr>
            <w:tcW w:type="dxa" w:w="4320"/>
          </w:tcPr>
          <w:p>
            <w:r>
              <w:t>Internal Rate of Return (Equity)</w:t>
            </w:r>
          </w:p>
        </w:tc>
        <w:tc>
          <w:tcPr>
            <w:tcW w:type="dxa" w:w="4320"/>
          </w:tcPr>
          <w:p>
            <w:r>
              <w:t>13.7%</w:t>
            </w:r>
          </w:p>
        </w:tc>
      </w:tr>
      <w:tr>
        <w:tc>
          <w:tcPr>
            <w:tcW w:type="dxa" w:w="4320"/>
          </w:tcPr>
          <w:p>
            <w:r>
              <w:t>Net Present Value (Project)</w:t>
            </w:r>
          </w:p>
        </w:tc>
        <w:tc>
          <w:tcPr>
            <w:tcW w:type="dxa" w:w="4320"/>
          </w:tcPr>
          <w:p>
            <w:r>
              <w:t>MYR 1.84 Trillion</w:t>
            </w:r>
          </w:p>
        </w:tc>
      </w:tr>
    </w:tbl>
    <w:p>
      <w:pPr>
        <w:pStyle w:val="Heading2"/>
      </w:pPr>
      <w:r>
        <w:t>3. Risk Factors</w:t>
      </w:r>
    </w:p>
    <w:p>
      <w:pPr>
        <w:pStyle w:val="ListBullet"/>
      </w:pPr>
      <w:r>
        <w:rPr>
          <w:b/>
        </w:rPr>
        <w:t xml:space="preserve">Construction Risk [HIGH]: </w:t>
      </w:r>
      <w:r>
        <w:t>Remaining 38% of construction subject to weather delays and material cost inflation. Current contingency budget of MYR 180 billion may be insufficient given 12% steel price increase YTD. Contractor (PT Waskita Karya) recorded MYR 2.1T net loss in FY2023.</w:t>
      </w:r>
    </w:p>
    <w:p>
      <w:pPr>
        <w:pStyle w:val="ListBullet"/>
      </w:pPr>
      <w:r>
        <w:rPr>
          <w:b/>
        </w:rPr>
        <w:t xml:space="preserve">Traffic Volume Risk [MEDIUM]: </w:t>
      </w:r>
      <w:r>
        <w:t>Base-case traffic projections by LAPI ITB assume 4.2% annual growth. Sensitivity analysis shows DSCR falls to 1.04x (below covenant) if traffic growth averages below 2.8% p.a. in the first 5 years. The Demak industrial zone expansion – key traffic driver – faces permitting delays.</w:t>
      </w:r>
    </w:p>
    <w:p>
      <w:pPr>
        <w:pStyle w:val="ListBullet"/>
      </w:pPr>
      <w:r>
        <w:rPr>
          <w:b/>
        </w:rPr>
        <w:t xml:space="preserve">Regulatory / Tariff Risk [MEDIUM]: </w:t>
      </w:r>
      <w:r>
        <w:t>Toll tariff adjustments require Presidential Regulation approval every 2 years. Historical data shows a 14-month average delay between scheduled and actual tariff increases, compressing revenue.</w:t>
      </w:r>
    </w:p>
    <w:p>
      <w:pPr>
        <w:pStyle w:val="ListBullet"/>
      </w:pPr>
      <w:r>
        <w:rPr>
          <w:b/>
        </w:rPr>
        <w:t xml:space="preserve">Refinancing Risk [LOW-MEDIUM]: </w:t>
      </w:r>
      <w:r>
        <w:t>Bullet repayment of MYR 580 billion due in Year 7. Refinancing risk elevated if credit markets tighten post-2031. Recommend debt service reserve account (DSRA) of 6-month debt service.</w:t>
      </w:r>
    </w:p>
    <w:p>
      <w:pPr>
        <w:pStyle w:val="ListBullet"/>
      </w:pPr>
      <w:r>
        <w:rPr>
          <w:b/>
        </w:rPr>
        <w:t xml:space="preserve">Foreign Exchange Risk [LOW]: </w:t>
      </w:r>
      <w:r>
        <w:t>All revenues and debt denominated in MYR. Equipment imports (22% of remaining capex) are USD-priced. Hedging strategy covers 80% of remaining FX exposure through forward contracts.</w:t>
      </w:r>
    </w:p>
    <w:p>
      <w:pPr>
        <w:pStyle w:val="ListBullet"/>
      </w:pPr>
      <w:r>
        <w:rPr>
          <w:b/>
        </w:rPr>
        <w:t xml:space="preserve">Environmental &amp; Social Risk [MEDIUM]: </w:t>
      </w:r>
      <w:r>
        <w:t>AMDAL (environmental impact assessment) approved, however three land parcels (total 4.2 ha) remain subject to ongoing compensation disputes with affected communities. Project timeline risk if disputes not resolved by Q2 2025.</w:t>
      </w:r>
    </w:p>
    <w:p>
      <w:pPr>
        <w:pStyle w:val="Heading2"/>
      </w:pPr>
      <w:r>
        <w:t>4. Covenant Summary</w:t>
      </w:r>
    </w:p>
    <w:p>
      <w:pPr>
        <w:pStyle w:val="ListBullet"/>
      </w:pPr>
      <w:r>
        <w:t>Minimum DSCR of 1.10x tested semi-annually</w:t>
      </w:r>
    </w:p>
    <w:p>
      <w:pPr>
        <w:pStyle w:val="ListBullet"/>
      </w:pPr>
      <w:r>
        <w:t>Maximum LTV of 80% throughout tenor</w:t>
      </w:r>
    </w:p>
    <w:p>
      <w:pPr>
        <w:pStyle w:val="ListBullet"/>
      </w:pPr>
      <w:r>
        <w:t>Debt Service Reserve Account equivalent to 6 months of scheduled debt service</w:t>
      </w:r>
    </w:p>
    <w:p>
      <w:pPr>
        <w:pStyle w:val="ListBullet"/>
      </w:pPr>
      <w:r>
        <w:t>Prohibition on additional financial indebtedness without lender consent</w:t>
      </w:r>
    </w:p>
    <w:p>
      <w:pPr>
        <w:pStyle w:val="ListBullet"/>
      </w:pPr>
      <w:r>
        <w:t>Quarterly financial reporting to Zava Bank within 45 days of period end</w:t>
      </w:r>
    </w:p>
    <w:p>
      <w:pPr>
        <w:pStyle w:val="ListBullet"/>
      </w:pPr>
      <w:r>
        <w:t>Annual independent technical review of construction progress</w:t>
      </w:r>
    </w:p>
    <w:p>
      <w:pPr>
        <w:pStyle w:val="ListBullet"/>
      </w:pPr>
      <w:r>
        <w:t>Notification within 5 business days of any material adverse change</w:t>
      </w:r>
    </w:p>
    <w:p>
      <w:pPr>
        <w:pStyle w:val="ListBullet"/>
      </w:pPr>
      <w:r>
        <w:t>Insurance coverage (construction all-risks, third-party liability) to be maintained throughout</w:t>
      </w:r>
    </w:p>
    <w:p>
      <w:pPr>
        <w:pStyle w:val="Heading2"/>
      </w:pPr>
      <w:r>
        <w:t>5. Sponsor Background</w:t>
      </w:r>
    </w:p>
    <w:p>
      <w:r>
        <w:t>PT Marga Utama Pacific is 60% owned by PT Jasa Marga (Bhd) Tbk (IDX: JSMR), Malaysia's largest toll road operator with a 6,000 km network, and 40% by PT Pembangunan Perumahan (Bhd) Tbk (IDX: PTPP). Combined sponsor net worth exceeds MYR 28 trillion. Jasa Marga has successfully completed 14 BOT toll road projects and has a 35-year operating track record.</w:t>
      </w:r>
    </w:p>
    <w:p>
      <w:pPr>
        <w:pStyle w:val="Heading2"/>
      </w:pPr>
      <w:r>
        <w:t>6. Use of Proceeds</w:t>
      </w:r>
    </w:p>
    <w:tbl>
      <w:tblPr>
        <w:tblStyle w:val="TableGrid"/>
        <w:tblW w:type="auto" w:w="0"/>
        <w:tblLook w:firstColumn="1" w:firstRow="1" w:lastColumn="0" w:lastRow="0" w:noHBand="0" w:noVBand="1" w:val="04A0"/>
      </w:tblPr>
      <w:tblGrid>
        <w:gridCol w:w="2880"/>
        <w:gridCol w:w="2880"/>
        <w:gridCol w:w="2880"/>
      </w:tblGrid>
      <w:tr>
        <w:tc>
          <w:tcPr>
            <w:tcW w:type="dxa" w:w="2880"/>
          </w:tcPr>
          <w:p>
            <w:r>
              <w:t>Use of Proceeds</w:t>
            </w:r>
          </w:p>
        </w:tc>
        <w:tc>
          <w:tcPr>
            <w:tcW w:type="dxa" w:w="2880"/>
          </w:tcPr>
          <w:p>
            <w:r>
              <w:t>Amount</w:t>
            </w:r>
          </w:p>
        </w:tc>
        <w:tc>
          <w:tcPr>
            <w:tcW w:type="dxa" w:w="2880"/>
          </w:tcPr>
          <w:p>
            <w:r>
              <w:t>% of Total</w:t>
            </w:r>
          </w:p>
        </w:tc>
      </w:tr>
      <w:tr>
        <w:tc>
          <w:tcPr>
            <w:tcW w:type="dxa" w:w="2880"/>
          </w:tcPr>
          <w:p>
            <w:r>
              <w:t>Civil Construction (remaining)</w:t>
            </w:r>
          </w:p>
        </w:tc>
        <w:tc>
          <w:tcPr>
            <w:tcW w:type="dxa" w:w="2880"/>
          </w:tcPr>
          <w:p>
            <w:r>
              <w:t>MYR 1,420 Billion</w:t>
            </w:r>
          </w:p>
        </w:tc>
        <w:tc>
          <w:tcPr>
            <w:tcW w:type="dxa" w:w="2880"/>
          </w:tcPr>
          <w:p>
            <w:r>
              <w:t>60.4%</w:t>
            </w:r>
          </w:p>
        </w:tc>
      </w:tr>
      <w:tr>
        <w:tc>
          <w:tcPr>
            <w:tcW w:type="dxa" w:w="2880"/>
          </w:tcPr>
          <w:p>
            <w:r>
              <w:t>Mechanical &amp; Electrical Works</w:t>
            </w:r>
          </w:p>
        </w:tc>
        <w:tc>
          <w:tcPr>
            <w:tcW w:type="dxa" w:w="2880"/>
          </w:tcPr>
          <w:p>
            <w:r>
              <w:t>MYR 340 Billion</w:t>
            </w:r>
          </w:p>
        </w:tc>
        <w:tc>
          <w:tcPr>
            <w:tcW w:type="dxa" w:w="2880"/>
          </w:tcPr>
          <w:p>
            <w:r>
              <w:t>14.5%</w:t>
            </w:r>
          </w:p>
        </w:tc>
      </w:tr>
      <w:tr>
        <w:tc>
          <w:tcPr>
            <w:tcW w:type="dxa" w:w="2880"/>
          </w:tcPr>
          <w:p>
            <w:r>
              <w:t>Land Acquisition (outstanding)</w:t>
            </w:r>
          </w:p>
        </w:tc>
        <w:tc>
          <w:tcPr>
            <w:tcW w:type="dxa" w:w="2880"/>
          </w:tcPr>
          <w:p>
            <w:r>
              <w:t>MYR 210 Billion</w:t>
            </w:r>
          </w:p>
        </w:tc>
        <w:tc>
          <w:tcPr>
            <w:tcW w:type="dxa" w:w="2880"/>
          </w:tcPr>
          <w:p>
            <w:r>
              <w:t>8.9%</w:t>
            </w:r>
          </w:p>
        </w:tc>
      </w:tr>
      <w:tr>
        <w:tc>
          <w:tcPr>
            <w:tcW w:type="dxa" w:w="2880"/>
          </w:tcPr>
          <w:p>
            <w:r>
              <w:t>Contingency Reserve</w:t>
            </w:r>
          </w:p>
        </w:tc>
        <w:tc>
          <w:tcPr>
            <w:tcW w:type="dxa" w:w="2880"/>
          </w:tcPr>
          <w:p>
            <w:r>
              <w:t>MYR 180 Billion</w:t>
            </w:r>
          </w:p>
        </w:tc>
        <w:tc>
          <w:tcPr>
            <w:tcW w:type="dxa" w:w="2880"/>
          </w:tcPr>
          <w:p>
            <w:r>
              <w:t>7.7%</w:t>
            </w:r>
          </w:p>
        </w:tc>
      </w:tr>
      <w:tr>
        <w:tc>
          <w:tcPr>
            <w:tcW w:type="dxa" w:w="2880"/>
          </w:tcPr>
          <w:p>
            <w:r>
              <w:t>Financing Costs &amp; Upfront Fees</w:t>
            </w:r>
          </w:p>
        </w:tc>
        <w:tc>
          <w:tcPr>
            <w:tcW w:type="dxa" w:w="2880"/>
          </w:tcPr>
          <w:p>
            <w:r>
              <w:t>MYR 120 Billion</w:t>
            </w:r>
          </w:p>
        </w:tc>
        <w:tc>
          <w:tcPr>
            <w:tcW w:type="dxa" w:w="2880"/>
          </w:tcPr>
          <w:p>
            <w:r>
              <w:t>5.1%</w:t>
            </w:r>
          </w:p>
        </w:tc>
      </w:tr>
      <w:tr>
        <w:tc>
          <w:tcPr>
            <w:tcW w:type="dxa" w:w="2880"/>
          </w:tcPr>
          <w:p>
            <w:r>
              <w:t>Working Capital</w:t>
            </w:r>
          </w:p>
        </w:tc>
        <w:tc>
          <w:tcPr>
            <w:tcW w:type="dxa" w:w="2880"/>
          </w:tcPr>
          <w:p>
            <w:r>
              <w:t>MYR 80 Billion</w:t>
            </w:r>
          </w:p>
        </w:tc>
        <w:tc>
          <w:tcPr>
            <w:tcW w:type="dxa" w:w="2880"/>
          </w:tcPr>
          <w:p>
            <w:r>
              <w:t>3.4%</w:t>
            </w:r>
          </w:p>
        </w:tc>
      </w:tr>
      <w:tr>
        <w:tc>
          <w:tcPr>
            <w:tcW w:type="dxa" w:w="2880"/>
          </w:tcPr>
          <w:p>
            <w:r>
              <w:t>TOTAL</w:t>
            </w:r>
          </w:p>
        </w:tc>
        <w:tc>
          <w:tcPr>
            <w:tcW w:type="dxa" w:w="2880"/>
          </w:tcPr>
          <w:p>
            <w:r>
              <w:t>MYR 2,350 Billion</w:t>
            </w:r>
          </w:p>
        </w:tc>
        <w:tc>
          <w:tcPr>
            <w:tcW w:type="dxa" w:w="2880"/>
          </w:tcPr>
          <w:p>
            <w:r>
              <w:t>100%</w:t>
            </w:r>
          </w:p>
        </w:tc>
      </w:tr>
    </w:tbl>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