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MEETING – RAW NOTES</w:t>
      </w:r>
    </w:p>
    <w:p>
      <w:r>
        <w:t>Date: 18 March 2025 | Time: 10:00 – 12:15 WIB | Location: Meeting Room 4A, Zava Bank HQ</w:t>
      </w:r>
    </w:p>
    <w:p>
      <w:r>
        <w:t>Attendees: David Tan (Chairman, IC), Sarah Lim (Head of Credit), Rizki Pratama (Senior Analyst), Ayu Wardani (Legal), Budi Santoso (Treasury), [Recording available on Teams]</w:t>
      </w:r>
    </w:p>
    <w:p>
      <w:r>
        <w:t>---</w:t>
      </w:r>
    </w:p>
    <w:p>
      <w:pPr>
        <w:pStyle w:val="Heading2"/>
      </w:pPr>
      <w:r>
        <w:t>Opening</w:t>
      </w:r>
    </w:p>
    <w:p>
      <w:r>
        <w:t>David opened at 10:03. Reminded team of Q1 pipeline target – 3 deals to close by 31 March. Said Apex deal is priority. Also quick update on Borneo solar – that one pushed to Q2.</w:t>
      </w:r>
    </w:p>
    <w:p>
      <w:pPr>
        <w:pStyle w:val="Heading2"/>
      </w:pPr>
      <w:r>
        <w:t>Agenda Item 1: Apex Pan-Peninsular Highway Toll Road – Credit Decision</w:t>
      </w:r>
    </w:p>
    <w:p>
      <w:r>
        <w:t>Rizki walked through the credit memo. Key points he raised:</w:t>
        <w:br/>
        <w:t>- Traffic study from LAPI ITB looks reasonable but he flagged sensitivity – if growth drops below 2.8% DSCR goes below covenant</w:t>
        <w:br/>
        <w:t>- Waskita Karya financial position is concerning – Rizki wants a completion guarantee or performance bond</w:t>
        <w:br/>
        <w:t>- Land acquisition – 3 parcels still outstanding, community disputes in Demak. Ayu says legal team is engaged but no timeline</w:t>
        <w:br/>
        <w:t>- Recommends approval subject to 5 conditions (see his slide deck shared on Teams)</w:t>
      </w:r>
    </w:p>
    <w:p>
      <w:r>
        <w:t>Sarah asked about the DSRA – current proposal is 3 months, she wants 6 months minimum. David agreed. Rizki to update term sheet.</w:t>
      </w:r>
    </w:p>
    <w:p>
      <w:r>
        <w:t>Budi raised FX question on remaining capex – 22% is USD-denominated equipment. Rizki confirmed 80% hedged via forwards. Budi ok with that, says residual risk is acceptable.</w:t>
      </w:r>
    </w:p>
    <w:p>
      <w:r>
        <w:t>Ayu flagged AMDAL approval is in place but the 3 outstanding land parcels need resolution condition. She will draft a condition precedent requiring resolution or escrow before first drawdown.</w:t>
      </w:r>
    </w:p>
    <w:p>
      <w:r>
        <w:t>Decision: APPROVED IN PRINCIPLE – subject to 6 conditions (Rizki to circulate updated list by EOD)</w:t>
      </w:r>
    </w:p>
    <w:p>
      <w:r>
        <w:t>Conditions summary (to be formalised):</w:t>
        <w:br/>
        <w:t>1. DSRA increased to 6 months</w:t>
        <w:br/>
        <w:t>2. Performance bond or completion guarantee from sponsors covering remaining construction</w:t>
        <w:br/>
        <w:t>3. Land acquisition CP – either full resolution or funded escrow for 3 outstanding parcels</w:t>
        <w:br/>
        <w:t>4. Independent technical advisor (ITA) appointed before financial close</w:t>
        <w:br/>
        <w:t>5. Updated financial model with revised steel cost assumptions</w:t>
        <w:br/>
        <w:t>6. Legal opinion on BOT concession enforceability</w:t>
      </w:r>
    </w:p>
    <w:p>
      <w:pPr>
        <w:pStyle w:val="Heading2"/>
      </w:pPr>
      <w:r>
        <w:t>Agenda Item 2: Portfolio Review – Q4 2024 Update</w:t>
      </w:r>
    </w:p>
    <w:p>
      <w:r>
        <w:t>Sarah gave quick portfolio update. 14 of 18 active projects on track. 4 flagged:</w:t>
        <w:br/>
        <w:t>- Bandar Udara Timika expansion – contractor dispute, 6-month delay expected</w:t>
        <w:br/>
        <w:t>- Palu water treatment – post-earthquake site conditions worse than modelled, needs technical review</w:t>
        <w:br/>
        <w:t>- Medan-Kualanamu road – sponsor (PTPP) liquidity tight, requesting covenant waiver for Q4</w:t>
        <w:br/>
        <w:t>- Belitung solar farm – performing well above projections, DSCR 1.87x</w:t>
      </w:r>
    </w:p>
    <w:p>
      <w:r>
        <w:t>David: PTPP covenant waiver to be tabled at next IC with full analysis. Sarah to prepare.</w:t>
      </w:r>
    </w:p>
    <w:p>
      <w:pPr>
        <w:pStyle w:val="Heading2"/>
      </w:pPr>
      <w:r>
        <w:t>Agenda Item 3: New Pipeline</w:t>
      </w:r>
    </w:p>
    <w:p>
      <w:r>
        <w:t>Rizki introduced 2 new opportunities:</w:t>
        <w:br/>
        <w:t>1. Batam-Bintan Bridge – feasibility study just published by PUPR. Early stage, Rizki to monitor</w:t>
        <w:br/>
        <w:t>2. East Java Geothermal (Pertamina Geothermal Energy) – MYR 1.8T, 30-year project. Sarah very interested. Rizki to do initial assessment by end of March</w:t>
      </w:r>
    </w:p>
    <w:p>
      <w:pPr>
        <w:pStyle w:val="Heading2"/>
      </w:pPr>
      <w:r>
        <w:t>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  <w:tr>
        <w:tc>
          <w:tcPr>
            <w:tcW w:type="dxa" w:w="2880"/>
          </w:tcPr>
          <w:p>
            <w:r>
              <w:t>Rizki</w:t>
            </w:r>
          </w:p>
        </w:tc>
        <w:tc>
          <w:tcPr>
            <w:tcW w:type="dxa" w:w="2880"/>
          </w:tcPr>
          <w:p>
            <w:r>
              <w:t>Update Apex term sheet with revised conditions</w:t>
            </w:r>
          </w:p>
        </w:tc>
        <w:tc>
          <w:tcPr>
            <w:tcW w:type="dxa" w:w="2880"/>
          </w:tcPr>
          <w:p>
            <w:r>
              <w:t>19 March 2025</w:t>
            </w:r>
          </w:p>
        </w:tc>
      </w:tr>
      <w:tr>
        <w:tc>
          <w:tcPr>
            <w:tcW w:type="dxa" w:w="2880"/>
          </w:tcPr>
          <w:p>
            <w:r>
              <w:t>Ayu</w:t>
            </w:r>
          </w:p>
        </w:tc>
        <w:tc>
          <w:tcPr>
            <w:tcW w:type="dxa" w:w="2880"/>
          </w:tcPr>
          <w:p>
            <w:r>
              <w:t>Draft CP language for land acquisition escrow</w:t>
            </w:r>
          </w:p>
        </w:tc>
        <w:tc>
          <w:tcPr>
            <w:tcW w:type="dxa" w:w="2880"/>
          </w:tcPr>
          <w:p>
            <w:r>
              <w:t>20 March 2025</w:t>
            </w:r>
          </w:p>
        </w:tc>
      </w:tr>
      <w:tr>
        <w:tc>
          <w:tcPr>
            <w:tcW w:type="dxa" w:w="2880"/>
          </w:tcPr>
          <w:p>
            <w:r>
              <w:t>Budi</w:t>
            </w:r>
          </w:p>
        </w:tc>
        <w:tc>
          <w:tcPr>
            <w:tcW w:type="dxa" w:w="2880"/>
          </w:tcPr>
          <w:p>
            <w:r>
              <w:t>Confirm DSRA mechanics and funding timeline with Apex</w:t>
            </w:r>
          </w:p>
        </w:tc>
        <w:tc>
          <w:tcPr>
            <w:tcW w:type="dxa" w:w="2880"/>
          </w:tcPr>
          <w:p>
            <w:r>
              <w:t>21 March 2025</w:t>
            </w:r>
          </w:p>
        </w:tc>
      </w:tr>
      <w:tr>
        <w:tc>
          <w:tcPr>
            <w:tcW w:type="dxa" w:w="2880"/>
          </w:tcPr>
          <w:p>
            <w:r>
              <w:t>Sarah</w:t>
            </w:r>
          </w:p>
        </w:tc>
        <w:tc>
          <w:tcPr>
            <w:tcW w:type="dxa" w:w="2880"/>
          </w:tcPr>
          <w:p>
            <w:r>
              <w:t>Prepare PTPP covenant waiver analysis for next IC</w:t>
            </w:r>
          </w:p>
        </w:tc>
        <w:tc>
          <w:tcPr>
            <w:tcW w:type="dxa" w:w="2880"/>
          </w:tcPr>
          <w:p>
            <w:r>
              <w:t>25 March 2025</w:t>
            </w:r>
          </w:p>
        </w:tc>
      </w:tr>
      <w:tr>
        <w:tc>
          <w:tcPr>
            <w:tcW w:type="dxa" w:w="2880"/>
          </w:tcPr>
          <w:p>
            <w:r>
              <w:t>Rizki</w:t>
            </w:r>
          </w:p>
        </w:tc>
        <w:tc>
          <w:tcPr>
            <w:tcW w:type="dxa" w:w="2880"/>
          </w:tcPr>
          <w:p>
            <w:r>
              <w:t>Initial assessment of East Java Geothermal opportunity</w:t>
            </w:r>
          </w:p>
        </w:tc>
        <w:tc>
          <w:tcPr>
            <w:tcW w:type="dxa" w:w="2880"/>
          </w:tcPr>
          <w:p>
            <w:r>
              <w:t>31 March 2025</w:t>
            </w:r>
          </w:p>
        </w:tc>
      </w:tr>
      <w:tr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2880"/>
          </w:tcPr>
          <w:p>
            <w:r>
              <w:t>Review updated Apex credit memo when circulated</w:t>
            </w:r>
          </w:p>
        </w:tc>
        <w:tc>
          <w:tcPr>
            <w:tcW w:type="dxa" w:w="2880"/>
          </w:tcPr>
          <w:p>
            <w:r>
              <w:t>20 March 2025</w:t>
            </w:r>
          </w:p>
        </w:tc>
      </w:tr>
    </w:tbl>
    <w:p>
      <w:r>
        <w:br/>
        <w:t>Meeting closed: 12:15 WIB</w:t>
      </w:r>
    </w:p>
    <w:p>
      <w:r>
        <w:t>Next IC: 1 April 2025, 10:00 WIB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