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Q1 2025 PERFORMANCE NOTES – DRAFT</w:t>
      </w:r>
    </w:p>
    <w:p>
      <w:r>
        <w:t>Prepared by: Rizki Pratama | Date: 2 April 2025 | Status: DRAFT – for IC review</w:t>
      </w:r>
    </w:p>
    <w:p>
      <w:r>
        <w:t>NOTE: These are raw notes for the investor briefing. Need to be turned into proper slides.</w:t>
      </w:r>
    </w:p>
    <w:p>
      <w:pPr>
        <w:pStyle w:val="Heading2"/>
      </w:pPr>
      <w:r>
        <w:t>Portfolio Summary</w:t>
      </w:r>
    </w:p>
    <w:p>
      <w:r>
        <w:t>Total active deals: 18 | Total committed: MYR 10.63T | New commitments Q1: MYR 2.35T (Apex deal closed)</w:t>
      </w:r>
    </w:p>
    <w:p>
      <w:r>
        <w:t>Performing (green): 14 deals | Watch list (amber): 3 deals | Non-performing (red): 1 deal</w:t>
      </w:r>
    </w:p>
    <w:p>
      <w:r>
        <w:t>Weighted avg DSCR: 1.53x | Target: &gt;1.25x — OK</w:t>
      </w:r>
    </w:p>
    <w:p>
      <w:r>
        <w:t>Q1 interest income: MYR 287B | Q4 2024 was MYR 271B — up 5.9%</w:t>
      </w:r>
    </w:p>
    <w:p>
      <w:pPr>
        <w:pStyle w:val="Heading2"/>
      </w:pPr>
      <w:r>
        <w:t>Sector Breakdown</w:t>
      </w:r>
    </w:p>
    <w:p>
      <w:r>
        <w:t>Transportation (toll roads, airports): 8 deals, MYR 5.2T, 49% of book</w:t>
      </w:r>
    </w:p>
    <w:p>
      <w:r>
        <w:t>Renewable Energy (solar, geothermal, hydro): 5 deals, MYR 2.8T, 26%</w:t>
      </w:r>
    </w:p>
    <w:p>
      <w:r>
        <w:t>Water &amp; Sanitation: 3 deals, MYR 1.4T, 13%</w:t>
      </w:r>
    </w:p>
    <w:p>
      <w:r>
        <w:t>Social Infrastructure (hospitals, schools): 2 deals, MYR 1.23T, 12%</w:t>
      </w:r>
    </w:p>
    <w:p>
      <w:pPr>
        <w:pStyle w:val="Heading2"/>
      </w:pPr>
      <w:r>
        <w:t>Watch List Details</w:t>
      </w:r>
    </w:p>
    <w:p>
      <w:r>
        <w:t>1. Bandar Udara Timika expansion: contractor dispute ongoing, construction delayed 6 months. DSCR currently 1.12x vs covenant 1.10x. Tight but ok for now. Need to monitor closely.</w:t>
      </w:r>
    </w:p>
    <w:p>
      <w:r>
        <w:t>2. Palu Water Treatment Plant: post-earthquake ground conditions. Sponsor requesting MYR 120B additional capex. Technical report due May 2025. Decision pending.</w:t>
      </w:r>
    </w:p>
    <w:p>
      <w:r>
        <w:t>3. Medan-Kualanamu road: PTPP sponsor liquidity issues. Requested covenant waiver Q4 – deferred to Q1 IC. Waiver analysis prepared by Sarah (see attachment).</w:t>
      </w:r>
    </w:p>
    <w:p>
      <w:pPr>
        <w:pStyle w:val="Heading2"/>
      </w:pPr>
      <w:r>
        <w:t>Highlights</w:t>
      </w:r>
    </w:p>
    <w:p>
      <w:r>
        <w:t>- Apex Pan-Peninsular Highway deal closed March 2025 – largest single deal in Zava Bank history at MYR 2.35T</w:t>
      </w:r>
    </w:p>
    <w:p>
      <w:r>
        <w:t>- Belitung Solar Farm performing exceptionally – DSCR 1.87x vs base case 1.35x</w:t>
      </w:r>
    </w:p>
    <w:p>
      <w:r>
        <w:t>- ESG: 68% of portfolio now classified as green/sustainable – target was 60% by 2025</w:t>
      </w:r>
    </w:p>
    <w:p>
      <w:r>
        <w:t>- 2 new opportunities in pipeline: Batam-Bintan Bridge (early), East Java Geothermal (MYR 1.8T)</w:t>
      </w:r>
    </w:p>
    <w:p>
      <w:pPr>
        <w:pStyle w:val="Heading2"/>
      </w:pPr>
      <w:r>
        <w:t>Key Metrics vs Target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Actual</w:t>
            </w:r>
          </w:p>
        </w:tc>
        <w:tc>
          <w:tcPr>
            <w:tcW w:type="dxa" w:w="2160"/>
          </w:tcPr>
          <w:p>
            <w:r>
              <w:t>Target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New Investment Commitments Q1</w:t>
            </w:r>
          </w:p>
        </w:tc>
        <w:tc>
          <w:tcPr>
            <w:tcW w:type="dxa" w:w="2160"/>
          </w:tcPr>
          <w:p>
            <w:r>
              <w:t>MYR 2.35T</w:t>
            </w:r>
          </w:p>
        </w:tc>
        <w:tc>
          <w:tcPr>
            <w:tcW w:type="dxa" w:w="2160"/>
          </w:tcPr>
          <w:p>
            <w:r>
              <w:t>MYR 2.0T</w:t>
            </w:r>
          </w:p>
        </w:tc>
        <w:tc>
          <w:tcPr>
            <w:tcW w:type="dxa" w:w="2160"/>
          </w:tcPr>
          <w:p>
            <w:r>
              <w:t>✓ Above target</w:t>
            </w:r>
          </w:p>
        </w:tc>
      </w:tr>
      <w:tr>
        <w:tc>
          <w:tcPr>
            <w:tcW w:type="dxa" w:w="2160"/>
          </w:tcPr>
          <w:p>
            <w:r>
              <w:t>Portfolio DSCR (weighted avg)</w:t>
            </w:r>
          </w:p>
        </w:tc>
        <w:tc>
          <w:tcPr>
            <w:tcW w:type="dxa" w:w="2160"/>
          </w:tcPr>
          <w:p>
            <w:r>
              <w:t>1.53x</w:t>
            </w:r>
          </w:p>
        </w:tc>
        <w:tc>
          <w:tcPr>
            <w:tcW w:type="dxa" w:w="2160"/>
          </w:tcPr>
          <w:p>
            <w:r>
              <w:t>&gt;1.25x</w:t>
            </w:r>
          </w:p>
        </w:tc>
        <w:tc>
          <w:tcPr>
            <w:tcW w:type="dxa" w:w="2160"/>
          </w:tcPr>
          <w:p>
            <w:r>
              <w:t>✓ On track</w:t>
            </w:r>
          </w:p>
        </w:tc>
      </w:tr>
      <w:tr>
        <w:tc>
          <w:tcPr>
            <w:tcW w:type="dxa" w:w="2160"/>
          </w:tcPr>
          <w:p>
            <w:r>
              <w:t>Non-Performing Loan Ratio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&lt;5%</w:t>
            </w:r>
          </w:p>
        </w:tc>
        <w:tc>
          <w:tcPr>
            <w:tcW w:type="dxa" w:w="2160"/>
          </w:tcPr>
          <w:p>
            <w:r>
              <w:t>✓ On track</w:t>
            </w:r>
          </w:p>
        </w:tc>
      </w:tr>
      <w:tr>
        <w:tc>
          <w:tcPr>
            <w:tcW w:type="dxa" w:w="2160"/>
          </w:tcPr>
          <w:p>
            <w:r>
              <w:t>Green Portfolio Share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60% by 2025</w:t>
            </w:r>
          </w:p>
        </w:tc>
        <w:tc>
          <w:tcPr>
            <w:tcW w:type="dxa" w:w="2160"/>
          </w:tcPr>
          <w:p>
            <w:r>
              <w:t>✓ Ahead</w:t>
            </w:r>
          </w:p>
        </w:tc>
      </w:tr>
      <w:tr>
        <w:tc>
          <w:tcPr>
            <w:tcW w:type="dxa" w:w="2160"/>
          </w:tcPr>
          <w:p>
            <w:r>
              <w:t>Interest Income Growth (QoQ)</w:t>
            </w:r>
          </w:p>
        </w:tc>
        <w:tc>
          <w:tcPr>
            <w:tcW w:type="dxa" w:w="2160"/>
          </w:tcPr>
          <w:p>
            <w:r>
              <w:t>+5.9%</w:t>
            </w:r>
          </w:p>
        </w:tc>
        <w:tc>
          <w:tcPr>
            <w:tcW w:type="dxa" w:w="2160"/>
          </w:tcPr>
          <w:p>
            <w:r>
              <w:t>+4%</w:t>
            </w:r>
          </w:p>
        </w:tc>
        <w:tc>
          <w:tcPr>
            <w:tcW w:type="dxa" w:w="2160"/>
          </w:tcPr>
          <w:p>
            <w:r>
              <w:t>✓ Exceeds</w:t>
            </w:r>
          </w:p>
        </w:tc>
      </w:tr>
      <w:tr>
        <w:tc>
          <w:tcPr>
            <w:tcW w:type="dxa" w:w="2160"/>
          </w:tcPr>
          <w:p>
            <w:r>
              <w:t>Watch List Deals</w:t>
            </w:r>
          </w:p>
        </w:tc>
        <w:tc>
          <w:tcPr>
            <w:tcW w:type="dxa" w:w="2160"/>
          </w:tcPr>
          <w:p>
            <w:r>
              <w:t>3 deals</w:t>
            </w:r>
          </w:p>
        </w:tc>
        <w:tc>
          <w:tcPr>
            <w:tcW w:type="dxa" w:w="2160"/>
          </w:tcPr>
          <w:p>
            <w:r>
              <w:t>&lt;4 deals</w:t>
            </w:r>
          </w:p>
        </w:tc>
        <w:tc>
          <w:tcPr>
            <w:tcW w:type="dxa" w:w="2160"/>
          </w:tcPr>
          <w:p>
            <w:r>
              <w:t>⚠ Monitoring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