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Aptos" w:hAnsi="Aptos"/>
          <w:b/>
          <w:color w:val="1F4E79"/>
          <w:sz w:val="96"/>
        </w:rPr>
        <w:t>ZAVA FORWARD</w:t>
        <w:br/>
        <w:t>2030</w:t>
        <w:br/>
      </w:r>
      <w:r>
        <w:rPr>
          <w:rFonts w:ascii="Aptos" w:hAnsi="Aptos"/>
          <w:b/>
          <w:color w:val="1F4E79"/>
          <w:sz w:val="40"/>
        </w:rPr>
        <w:br/>
        <w:t>Group Strategy Framework</w:t>
      </w:r>
    </w:p>
    <w:p>
      <w:pPr>
        <w:jc w:val="center"/>
      </w:pPr>
      <w:r>
        <w:rPr>
          <w:rFonts w:ascii="Aptos" w:hAnsi="Aptos"/>
          <w:i/>
          <w:color w:val="595959"/>
          <w:sz w:val="22"/>
        </w:rPr>
        <w:br/>
        <w:br/>
        <w:t>Version 4.0 | Board-approved 12 December FY2024</w:t>
        <w:br/>
      </w:r>
      <w:r>
        <w:rPr>
          <w:rFonts w:ascii="Aptos" w:hAnsi="Aptos"/>
          <w:i/>
          <w:color w:val="595959"/>
          <w:sz w:val="20"/>
        </w:rPr>
        <w:t>Confidential — Group ExCo, Division CEOs, Board Members only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Foreword from the Group Chief Executive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FY2025 closes a difficult year for Zava Group. Group revenue of MYR 42.4 billion against a budget of MYR 44.2 billion represents a 4.1% top-line shortfall, but the EBITDA picture is the harder story: MYR 6.1 billion against MYR 7.4 billion budget, an 18% miss that reduces our net debt headroom and pressures three divisions — Properties, Healthcare and Retail — into negative-EBITDA territory for the first time in the Group's 38-year history.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I do not see this as a story of strategic failure. The shortfall has six identifiable drivers — Property completion delays, Healthcare patient-volume softness, Retail footfall decline, China chemicals demand weakness, IDR/USD adverse FX, and the Hindustan Bulk counterparty event in Trading. Each has been studied; each has a remediation programme; and the underlying portfolio strength remains intact. Financial Services beat budget by 7%, BPO beat by 4%, and the four other divisions are operating within plan tolerance.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But it does sharpen the case for Zava Forward 2030 — the strategic framework set out in this document. The next five years require us to: (i) recover the cyclical divisions decisively; (ii) compound advantage in our growth engines; (iii) decarbonise and digitalise across the enterprise; (iv) sharpen our portfolio with disciplined M&amp;A and selective exits; and (v) build the talent and capability to execute. The framework is built around five strategic pillars and is grounded in clear capital-allocation discipline: MYR 12.4 billion of capex through FY2027, a fix-first lens on the three Red divisions, and an unwavering commitment to capital-structure protection (Net Debt / EBITDA &lt; 3.0× through cycle).</w:t>
      </w:r>
    </w:p>
    <w:p>
      <w:pPr>
        <w:spacing w:after="120" w:line="276" w:lineRule="auto"/>
      </w:pPr>
      <w:r>
        <w:rPr>
          <w:rFonts w:ascii="Aptos" w:hAnsi="Aptos"/>
          <w:b w:val="0"/>
          <w:i/>
          <w:sz w:val="20"/>
        </w:rPr>
        <w:t>I commend this framework to the Board, the ExCo, and to every division leader. Execution is now the priority.</w:t>
      </w:r>
    </w:p>
    <w:p>
      <w:pPr>
        <w:spacing w:after="120" w:line="276" w:lineRule="auto"/>
      </w:pPr>
      <w:r>
        <w:rPr>
          <w:rFonts w:ascii="Aptos" w:hAnsi="Aptos"/>
          <w:b w:val="0"/>
          <w:i/>
          <w:sz w:val="20"/>
        </w:rPr>
        <w:t>— Group CEO, December FY2024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1. Strategic Context — Where We Stand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1.1 FY2025 Performance Reality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FY2025 outcome reshapes the starting position for our 2030 strategy: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55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FY2024A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 Bud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 Act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Variance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Revenue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43,385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44,200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42,380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−1,820 (−4.1%)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Below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EBITDA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7,890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7,420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6,103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−1,317 (−17.8%)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RED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EBITDA Margin 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17.6%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16.8%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14.4%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−240 bps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RED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Net Debt /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2.4×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2.5×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3.1×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+0.6×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AMBER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Free Cash Flow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3,420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3,250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2,180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−1,070 (−33%)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RED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Divisions in negative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+3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RED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1.2 The Three Red Divisions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Three divisions reported negative EBITDA in FY2025 — a first for the Group. Each has a distinct root cause: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Properties (act margin −0.5% on rev MYR 1,800M): Mid-Valley project completion delay, Penang Tower writedown of MYR 320M, slowing pre-sales velocity in Klang Valley, and unsold inventory carrying cost. Cyclical, not structural.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Healthcare (act margin −0.5% on rev MYR 1,200M): Patient volume below pre-pandemic baseline by 11%, specialist consultant cost growth outpacing revenue, Subang facility utilisation at 58%. Mix of cyclical and emerging structural issues.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Retail (act margin −0.5% on rev MYR 2,200M): Online cannibalisation of physical stores, footfall down 14% at flagship locations, lease cost inflation, and a one-time inventory writedown of MYR 110M. Structural pressure on the format mix.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1.3 The Six Outperformers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Eight of eleven divisions are at-or-better than plan. Two are notable beats: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Financial Services beat budget by 7% on EBITDA, driven by margin lending growth and improved investment income.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BPO beat budget by 4%, with three new US captive deals closed in H2 and pricing escalators kicking in.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Six others — Chemicals, Manufacturing, Treasury Holdings, Pharmaceuticals, Agribusiness and Trading — are within ±5% of plan, with discrete recovery items identified for FY2026.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1.4 Macro &amp; Industry Backdrop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next five years sit at the intersection of structural shifts the Group must navigate: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China growth slowdown and demand re-routing: olefins demand softness affecting our chemicals book; partial offset from RCEP intra-ASEAN trade flows.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Energy transition acceleration: ASEAN-wide carbon pricing on the horizon (CBAM extension to ASEAN exporters by 2027, MY domestic carbon pricing by 2026, ID early signals).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Persistent IDR/USD pressure: IDR has weakened ~9% YoY against USD; FX translation drag is structural, not cyclical, for the next 12-24 months.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Generative AI productivity wave: BPO division must convert AI productivity into pricing leverage rather than allowing client share-of-savings claims.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ASEAN healthcare demand recovery is uneven — cosmetic and elective procedures returning faster than chronic disease management.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Property: Klang Valley overhang likely persists 18-24 months; Penang and Iskandar showing signs of recovery.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2. Five Pillars of Zava Forward 2030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 Forward 2030 organises the Group strategy around five reinforcing pillars. Each pillar has measurable outcomes, capital implications and division-level cascades.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2.1 Pillar 1 — Recover &amp; Reinvent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Restore the three Red divisions to positive EBITDA by FY2027.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three negative-EBITDA divisions (Properties, Healthcare, Retail) are not candidates for managed decline. Properties and Healthcare have core competitive positions worth defending; Retail requires format reinvention. Each division has a 90-day stabilisation plan, a 12-month recovery plan, and a 3-year transformation plan, with monthly tracking at Group ExCo level and quarterly tracking at Board level.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MYR +320M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Properties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-9M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+180M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+320M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FY26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Healthcare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-6M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+90M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+180M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FY26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Retail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-11M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+60M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+140M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FY26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Combined EBITDA contribution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-26M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+330M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+640M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Asset-rationalisation programme: dispose of MYR 800M of non-core property and retail real-estate by FY2027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Healthcare format refresh: convert two underutilised inpatient floors at Subang into outpatient day-surgery and chronic-care formats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Retail digital-first reset: close 18 underperforming stores; redeploy 35% of saved cost into omni-channel and category-killer formats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Capital reallocation: hold growth capex at minimum-required levels in these three divisions until ROIC &gt; 8%</w:t>
      </w:r>
    </w:p>
    <w:p>
      <w:r>
        <w:br w:type="page"/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2.2 Pillar 2 — Compound the Engines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Double down on Financial Services, BPO and Pharmaceuticals.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Three divisions have demonstrated structural advantage — Financial Services (strong asset-quality and rising fee streams), BPO (AI-leveraged offshore delivery with US/EU customer base), and Pharmaceuticals (generics tender wins across Indonesia and the Philippines, plus emerging branded portfolio). These engines justify accelerated capital deployment.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MYR 1,400M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FS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920M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1,150M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1,400M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BPO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880M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1,500M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Pharma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700M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880M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Combined EBITDA contribution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2,500M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3,210M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4,000M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Financial Services: launch wealth-management arm targeting MYR 25B AUM by FY2028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BPO: bolt-on acquisitions of two US-based mid-tier BPOs by FY2027 (target combined revenue MYR 800M, EV MYR 1.5-2B)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Pharmaceuticals: file 12 new ANDA dossiers per year through FY2027; build branded portfolio in cardiometabolic and women's-health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Capital tilt: 35% of FY2025-2027 growth capex earmarked for these three divisions</w:t>
      </w:r>
    </w:p>
    <w:p>
      <w:r>
        <w:br w:type="page"/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2.3 Pillar 3 — Decarbonise &amp; Digitise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Cut Scope 1+2 by 45% and embed AI in every core workflow.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Zava's 2030 climate commitment (Scope 1+2 −45% vs FY2019 baseline) is science-based-target validated and capital-backed. In parallel, the Group is investing in enterprise digital and AI platform foundations to convert the productivity wave into competitive advantage.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−45%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Scope 1+2 reduction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−18%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−32%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−45%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Renewable electricity 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34%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55%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70%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Digital revenue 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8%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25%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AI use-cases in production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14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60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150+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Annual digital productivity savings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280M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500M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Group-wide energy-transition capex of MYR 2.4 billion through FY2027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Solar and storage at all manufacturing and refinery sites by FY2027 (15-year PPAs preferred)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M365 Copilot Pro+ deployment to 12,000 knowledge workers by mid-FY2026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Sector-specific AI platforms: BPO Cognitive Workbench, Pharma Regulatory Co-pilot, FS Risk Brain, Healthcare Diagnostic Assistant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Climate-linked compensation: 15% of senior-executive PSU vest tied to Scope 1+2 trajectory</w:t>
      </w:r>
    </w:p>
    <w:p>
      <w:r>
        <w:br w:type="page"/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2.4 Pillar 4 — Sharpen the Portfolio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Disciplined M&amp;A, selective exits, sharper governance.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Group portfolio of 11 divisions is right-sized but under-curated. Pillar 4 commits to disciplined portfolio management: clear identification of core, growth, and divestment candidates; M&amp;A discipline anchored in 5-year IRR ≥ 12% and accretion within 24 months; selective exits where ROIC trails cost of capital persistently.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4.5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M&amp;A deployed (MYR B)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0.0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2.5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4.5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Divestments completed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1,200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2,500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Group ROIC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8.4%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10.5%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12.5%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No. of bolt-ons closed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12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M&amp;A pipeline reviewed quarterly by Investment Committee; minimum hurdle rate 12% IRR over 5 years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Divestment candidates: non-core trading subsidiaries, underperforming retail real-estate, and the Surabaya manufacturing JV (50% stake, MYR 280M)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Portfolio-review cadence: deep-dive on every division every 24 months at Board level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Capital-recycling target: net divestments to fund 30%+ of M&amp;A spend</w:t>
      </w:r>
    </w:p>
    <w:p>
      <w:r>
        <w:br w:type="page"/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2.5 Pillar 5 — Talent &amp; Trust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Build the people, the culture and the licence to operate for 2030.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Group cannot deliver pillars 1-4 without parallel investment in talent, leadership and stakeholder trust. Pillar 5 is the enabling pillar: compensation modernisation, leadership pipeline depth, ESG-grounded community investment, and governance maturity.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&lt; 8%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Voluntary attrition rate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12.4%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&lt; 10%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&lt; 8%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Engagement score (Pulse)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74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78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82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Internal-fill rate (senior roles)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52%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65%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75%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% Women in management JG6+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28.4%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32%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40%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Community investment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50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60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85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Independent ESG rating (Sustainalytics)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Med-Risk 24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Low-Risk 18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Low-Risk &lt; 15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Reskilling fund of MYR 60M committed FY2025-2027 (priority: AI, data, sustainability, digital)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Living wage certification for direct workforce by FY2026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Top-100 succession depth: every Group ExCo + Division CEO role to have ≥ 2 ready-now successors by FY2026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Community SROI ≥ 3.0× across the Group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3. Division-by-Division Strategy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Each of the 11 divisions has a defined strategic role within Zava Forward 2030. The role drives capital allocation, M&amp;A appetite, and the ambition level on cost, growth and sustainability.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8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Division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Strategic Role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FY25 EBITDA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FY27 Target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M&amp;A Posture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Chemicals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Defend &amp; extend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480M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600M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Selective bolt-on (specialty)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Agribusiness &amp; Plantations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Operational excellence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320M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410M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Hold; exit non-strategic estates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Manufacturing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Digital transformation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360M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480M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Selective (advanced manuf.)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Financial Services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Compound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920M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1,150M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Active (wealth, fintech)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Properties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Recover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-9M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320M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Hold; recycle MYR 600M assets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BPO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Compound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880M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1,180M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Active (US/EU mid-tier)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Trading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Risk-managed run-off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110M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140M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Divest non-core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Pharmaceuticals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Compound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700M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880M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Active (branded niches)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Healthcare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Reinvent format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-6M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180M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Hold; recycle low-utilisation assets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Retail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Format reset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-11M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140M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Hold; close underperformers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Treasury Holdings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Capital allocator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39M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90M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Group capital allocator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Chemicals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Anchor commodity-grade book on cost-leadership; tilt mix to specialty chemicals (electronics, EV battery materials, semiconductor packaging) targeting 35% of revenue by FY2027 (FY25 actual: 22%). Capacity expansion at Pengerang via brownfield to capture incremental ASEAN demand. Carbon-cost preparation: methane abatement programme and 100MW captive solar.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Agribusiness &amp; Plantations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Yield-recovery programme across Sumatran estates (target 23 t/ha by FY2027, vs 19 t/ha FY2025). Replanting acceleration funded by sustainability-linked sukuk. Exit two non-core upstream estates (Kalimantan Barat) and reinvest into refinery capacity. NDPE compliance to 100% by FY2027.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Manufacturing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Industrial digital transformation across 14 plants; target 30% labour-productivity uplift by FY2027 via AI-assisted predictive maintenance and adaptive scheduling. Aerospace contract pipeline (MRO + parts) to 22% of revenue. Two plant closures (Kuala Lumpur + Subang Jaya) and concentration into the Senai mega-site.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Financial Services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Compound advantage. Wealth-management arm launch FY2026 (target MYR 25B AUM by FY2028). Margin-lending and securities-financing scale-up. Deeper IB underwriting capability across ASEAN ECM/DCM. Asset quality discipline: NPL &lt; 1.5% through cycle. Selective wealth + fintech bolt-ons.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Properties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Recovery anchored on three pillars: (1) sell-down of 320 unsold units at Mid-Valley with sharper pricing and bundled financing; (2) Penang Tower recovery via mixed-use repositioning to office + serviced apartments; (3) Disposal of MYR 600M non-core land bank. New launches paused until inventory months-of-supply &lt; 8.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BPO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Compounding engine. Two US bolt-ons targeted FY2026/27 (combined revenue ~MYR 800M, EV MYR 1.5-2B). AI-led productivity converted into outcome-based pricing models (vs FTE-based). Centre expansion: Cebu (PH), Ho Chi Minh City (VN). New Cognitive Workbench platform deployed across all delivery centres.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Trading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Risk-managed run-off of energy-trading book post-Hindustan Bulk event; tighten counterparty limits, mandate trade-credit insurance for all single-counterparty exposure &gt; MYR 30M. Pivot to higher-margin specialty trading (rare earths, agri-soft). Divest non-core agri-trading subsidiary in Singapore (estimated proceeds MYR 280M).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Pharmaceuticals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Compound. Indonesia generics: file 12 ANDA dossiers per year; target 5 launches per year. Branded portfolio build in cardiometabolic and women's-health (Malaysia, Indonesia, Philippines). API backward-integration evaluation FY2026. Regulatory Co-pilot platform to compress dossier preparation time by 35%.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Healthcare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Reinvent. Convert Subang underutilised inpatient floors into day-surgery and outpatient chronic-care. Specialist-network pivot: more procedural volume, less low-acuity admission. Insurance partnership with Group Financial Services for bundled wellness products. Single-network branding refresh.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Retail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Format reset. Close 18 underperforming stores by mid-FY2026; redeploy 35% of saved cost into omni-channel platform investment. Category-killer pilot in beauty + electronics (selectively bigger basket sizes). Dynamic pricing platform deployment. Loyalty programme refresh with fintech-enabled instalments.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Treasury Holdings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Group capital allocator. Continue acting as the in-house bank for all 11 divisions. Optimise the investment portfolio for through-cycle yield. Manage the FY2025-2027 MYR 12.4B capex programme allocation. Maintain Net Debt / EBITDA &lt; 3.0× through cycle.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4. M&amp;A and Portfolio Pipeline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Group has assembled a disciplined, division-led M&amp;A pipeline. Each opportunity is assessed against minimum hurdles: 5-year IRR ≥ 12%, EPS-accretion within 24 months, post-deal Net Debt/EBITDA &lt; 3.0×, and demonstrable strategic fit with the five pillars of Zava Forward 2030.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4.1 Acquisition Pipeline (FY2025-2027)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68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55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Division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EV (MYR M)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Close Target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M-1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US BPO Project Anvil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BPO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Mid-tier US BPO; ~MYR 500M revenue; banking/insurance vertical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900-1,100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NDA + early due diligence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H1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M-2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EU BPO Project Mercury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BPO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European mid-tier; ~MYR 300M revenue; healthcare/pharma vertical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600-800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Long-list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H2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M-3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Indonesia Wealth Project Pearl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Financial Services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Independent wealth manager; AUM ~MYR 6B; OJK licence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450-550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NDA signed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H1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M-4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Vietnam SME Lender Project Tiger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Financial Services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Small SME lender, MYR 1.2B portfolio; gateway licence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320-380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Term sheet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Q4 FY2025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M-5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Branded Cardio API Maker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Pharmaceuticals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Indonesia branded API; 4 products; cGMP-certified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180-240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Indicative offer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H2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M-6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Women's Health Brand SEA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Pharmaceuticals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Women's-health branded portfolio; 6 SKUs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120-180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Confidential discussion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FY2027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M-7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Specialty Chemicals Bolt-on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Chemicals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EV battery additives; ~MYR 200M revenue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350-450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Long-list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FY2027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M-8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Day-surgery Chain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Healthcare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4-clinic ambulatory chain in MY; complement to inpatient network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180-220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Long-list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FY2027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4.2 Divestment Pipeline (FY2025-2027)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68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Asset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Division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Expected Proceeds (MYR M)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Close Target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D-1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Klang Valley Land Bank (3 parcels)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Properties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Non-core; long-dated holding cost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450-550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IM out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H1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D-2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Penang Tower Phase 2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Properties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Strategic exit post-writedown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180-220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Discussions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H2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D-3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Surabaya Mfg JV (50%)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Manufacturing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Non-core; partner ROFR exercised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260-320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Negotiating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Q3 FY2025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D-4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Singapore Agri-Trading Sub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Trading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Non-core post-Hindustan Bulk event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240-300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Auction prep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H2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D-5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2 Kalimantan Barat Estates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Agribusiness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Non-strategic; recycle into refinery capacity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350-400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Beauty parade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H1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D-6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18 Underperforming Retail Stores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Retail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Format reset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Lease exit; net-positive cash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In execution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Through FY2026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Total expected M&amp;A deployment FY2025-2027: MYR 2.5-3.5 billion. Total expected divestment proceeds FY2025-2027: MYR 1.5-2.0 billion. Net deployment: MYR 1.0-1.5 billion to be funded from operating cash flow and existing facility headroom.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5. Capital Allocation FY2025-2027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Group has approved a MYR 12.4 billion capital expenditure programme for the three-year period FY2025-2027, reflecting the strategic priorities set out in pillars 1-5.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5.1 Capex by Division (MYR 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Division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 Plan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FY2026 Plan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FY2027 Plan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3-yr Total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% of Group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Chemicals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1,450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11.7%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Agribusiness &amp; Plantations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1,050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8.5%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Manufacturing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410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1,250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10.1%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Financial Services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650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5.2%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Properties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620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5.0%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BPO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9.0%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Trading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1.0%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Pharmaceuticals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840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6.8%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Healthcare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4.2%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Retail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3.7%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Treasury Holdings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25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25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70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0.6%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Group Energy Transition (cross-cutting)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720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820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880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2,420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19.5%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Group Digital &amp; AI (cross-cutting)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11.5%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Group Other (HQ, real estate)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3.4%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TOTAL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4,070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4,205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4,125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12,400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100.0%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5.2 Capex by Strategic Theme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3-yr Total (MYR M)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% of Total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Anchor Pillar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Energy Transition (Scope 1+2 abatement)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2,420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19.5%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3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Digital &amp; AI Platform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1,420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11.5%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3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Growth — Compound Engines (FS, BPO, Pharma)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2,610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21.0%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2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Maintenance Capex (all divisions)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3,200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25.8%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Operational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Recovery &amp; Reinvent (Properties, HC, Retail)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1,600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12.9%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1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Operational Excellence (Chem, Agri, Mfg, Trading)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1,150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9.3%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1/2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Group HQ, Real Estate, Other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0.0%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5.3 Funding &amp; Capital Structure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MYR 12.4B programme is funded via: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Operating Free Cash Flow: MYR 8.5-9.5B over the period (after working-capital, tax, finance costs)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Net Divestment Proceeds: MYR 1.5-2.0B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Additional Borrowing: MYR 1.5-2.0B (incremental sustainability-linked instruments preferred)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Dividend Reinvestment / Scrip: MYR 0.5-0.8B contingency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Capital-structure target: Net Debt / EBITDA &lt; 3.0× through cycle (hard covenant limit 3.5×). Interest cover &gt; 4.0×. Cash + undrawn committed facilities ≥ 12 months of debt maturity at all times.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6. People &amp; Culture Agenda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 Forward 2030 cannot be delivered without parallel investment in talent, leadership pipeline depth, and culture.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6.1 Talent Initiatives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Re-skilling fund of MYR 60M committed FY2025-2027 — priority capabilities: AI, data, sustainability, digital product, advanced manufacturing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Top-100 succession depth: every Group ExCo and Division CEO role to have ≥ 2 ready-now successors by FY2026 (current: 71% have at least one identified successor)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Internal-fill rate of senior roles: target &gt; 65% by FY2027 (FY25 baseline 52%)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Leadership pipeline: Zava Academy Senior Leader Programme launched for Top-300 (cohort size 60 per year)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6.2 Culture &amp; Engagement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Engagement (Pulse) target 78 by FY2027 (FY25 baseline 74). Top driver: career growth perception.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Voluntary attrition target &lt; 10% by FY2027 (FY25 baseline 12.4%). Focus on digital and sustainability roles where attrition is highest.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Reward modernisation: ESG-linked PSU 15% weight (already implemented FY2024); digital-skills premium for critical-shortage roles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Hybrid working: 3-2 model (3 days office, 2 days flexible) maintained; revisit FY2026 based on productivity and engagement data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6.3 Diversity, Equity &amp; Inclusion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Women in management JG6+: 32% by FY2027, 40% by FY2030 (FY25 baseline 28.4%)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Persons with disability: 1.2% by FY2027, 2.0% by FY2030 (FY25 baseline 0.8%)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Local-national senior managers in each ASEAN country &gt; 78% by FY2027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Pay equity (adjusted): &lt; 1% gender gap maintained year-on-year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7. Strategic Risks &amp; Mitigations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4819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Mitigation Focus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Recovery in Properties slower than plan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Aggressive sell-down + asset disposal; format conversion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ASEAN carbon pricing earlier or steeper than expected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Accelerated abatement capex; nature-based offsets reserve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IDR/USD continues to weaken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Layered hedging programme; pricing pass-through; ID localisation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BPO AI productivity → client share-of-savings claims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Outcome-based pricing pivot; vertical specialisation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Healthcare patient volumes structurally lower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Format conversion to outpatient/day-surgery; ambulatory M&amp;A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M&amp;A pipeline mis-execution (overpay, integration)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Disciplined hurdle rates; pre-deal integration plans; governance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Cyber incident / ransomware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Zero-trust roll-out FY2025; quarterly red team; cyber insurance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Geopolitical (US-China supply-chain)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Multi-source critical components; ASEAN+1 supplier diversification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Property writedowns (Penang Tower, Mid-Valley)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Conservative carrying values; quarterly impairment testing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PDPA MY 2024 amendment + UU PDP ID enforcement (Oct 2024)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DPO appointed at Group + each MY/ID division; mandatory breach process; staff training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Bursa Malaysia / SC Malaysia listing review of FY2025 disclosure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Pre-emptive Q4 trading update; board statement on EBITDA miss; SC engagement protocol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OJK enforcement on Indonesia-listed subsidiaries (PT Zava entities)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OJK liaison via Group Legal; quarterly POJK 14/POJK 19 disclosure check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BNM regulatory expectations on Financial Services division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BNM RMiT, BNM RMCG, AMLA compliance; FS division CRO direct line to BNM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ISSB / IFRS S1+S2 climate disclosure (NACRA, Bursa-mandated)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Adoption roadmap to FY2027; TCFD-aligned reporting from FY2025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RSPO certification slip in Agribusiness (P&amp;C 2018 audits)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Annual ASA-1/2 surveillance audits; smallholder traceability programme</w:t>
            </w:r>
          </w:p>
        </w:tc>
      </w:tr>
    </w:tbl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7B. Regulatory, Listing &amp; Sustainability Compliance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 Group operates across multiple regulatory jurisdictions. The compliance footprint and the standards we report against are summarised below to give the Board, the Investment Committee and external stakeholders a single reference view.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7B.1 Listing &amp; Capital-Markets Regulators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02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Jurisdiction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Regulator</w:t>
            </w:r>
          </w:p>
        </w:tc>
        <w:tc>
          <w:tcPr>
            <w:tcW w:type="dxa" w:w="255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Listed Vehicle / Instrument</w:t>
            </w:r>
          </w:p>
        </w:tc>
        <w:tc>
          <w:tcPr>
            <w:tcW w:type="dxa" w:w="3969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Key Obligations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Malaysia</w:t>
            </w:r>
          </w:p>
        </w:tc>
        <w:tc>
          <w:tcPr>
            <w:tcW w:type="dxa" w:w="2041"/>
          </w:tcPr>
          <w:p>
            <w:r/>
            <w:r>
              <w:rPr>
                <w:rFonts w:ascii="Aptos" w:hAnsi="Aptos"/>
                <w:sz w:val="18"/>
              </w:rPr>
              <w:t>Bursa Malaysia + Securities Commission Malaysia (SC)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Zava Group Berhad (Main Market, FBM KLCI constituent); Sukuk Murabahah MYR 2.0B</w:t>
            </w:r>
          </w:p>
        </w:tc>
        <w:tc>
          <w:tcPr>
            <w:tcW w:type="dxa" w:w="3969"/>
          </w:tcPr>
          <w:p>
            <w:r/>
            <w:r>
              <w:rPr>
                <w:rFonts w:ascii="Aptos" w:hAnsi="Aptos"/>
                <w:sz w:val="18"/>
              </w:rPr>
              <w:t>Bursa Listing Requirements (Chapter 9 disclosure, Chapter 10 transactions, Chapter 15 corporate governance); SC Capital Markets and Services Act 2007; MCCG 2021 (apply or explain); Quarterly Reports within 2 months; Annual Report within 4 months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Indonesia</w:t>
            </w:r>
          </w:p>
        </w:tc>
        <w:tc>
          <w:tcPr>
            <w:tcW w:type="dxa" w:w="2041"/>
          </w:tcPr>
          <w:p>
            <w:r/>
            <w:r>
              <w:rPr>
                <w:rFonts w:ascii="Aptos" w:hAnsi="Aptos"/>
                <w:sz w:val="18"/>
              </w:rPr>
              <w:t>OJK (Otoritas Jasa Keuangan) + IDX (Bursa Efek Indonesia / BEI)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PT Zava Pharmaceuticals Tbk and PT Zava Agribusiness Tbk (IDX Main Board); IDX MTN Programme IDR 2.7T equivalent</w:t>
            </w:r>
          </w:p>
        </w:tc>
        <w:tc>
          <w:tcPr>
            <w:tcW w:type="dxa" w:w="3969"/>
          </w:tcPr>
          <w:p>
            <w:r/>
            <w:r>
              <w:rPr>
                <w:rFonts w:ascii="Aptos" w:hAnsi="Aptos"/>
                <w:sz w:val="18"/>
              </w:rPr>
              <w:t>POJK 14/2022 (periodic &amp; material disclosure); POJK 19/2017 (related-party transactions); IDX Listing Rule I-A; OJK governance circulars; Quarterly LK within 1 month; Annual LK within 3 months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Singapore</w:t>
            </w:r>
          </w:p>
        </w:tc>
        <w:tc>
          <w:tcPr>
            <w:tcW w:type="dxa" w:w="2041"/>
          </w:tcPr>
          <w:p>
            <w:r/>
            <w:r>
              <w:rPr>
                <w:rFonts w:ascii="Aptos" w:hAnsi="Aptos"/>
                <w:sz w:val="18"/>
              </w:rPr>
              <w:t>Monetary Authority of Singapore (MAS) + SGX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Zava Trading Pte Ltd (subsidiary, not listed); SGX-AC member</w:t>
            </w:r>
          </w:p>
        </w:tc>
        <w:tc>
          <w:tcPr>
            <w:tcW w:type="dxa" w:w="3969"/>
          </w:tcPr>
          <w:p>
            <w:r/>
            <w:r>
              <w:rPr>
                <w:rFonts w:ascii="Aptos" w:hAnsi="Aptos"/>
                <w:sz w:val="18"/>
              </w:rPr>
              <w:t>MAS Notice 626 (AML/CFT); Securities and Futures Act 2001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Thailand</w:t>
            </w:r>
          </w:p>
        </w:tc>
        <w:tc>
          <w:tcPr>
            <w:tcW w:type="dxa" w:w="2041"/>
          </w:tcPr>
          <w:p>
            <w:r/>
            <w:r>
              <w:rPr>
                <w:rFonts w:ascii="Aptos" w:hAnsi="Aptos"/>
                <w:sz w:val="18"/>
              </w:rPr>
              <w:t>SEC Thailand + SET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Zava Manufacturing (Thailand) Ltd (subsidiary, not listed)</w:t>
            </w:r>
          </w:p>
        </w:tc>
        <w:tc>
          <w:tcPr>
            <w:tcW w:type="dxa" w:w="3969"/>
          </w:tcPr>
          <w:p>
            <w:r/>
            <w:r>
              <w:rPr>
                <w:rFonts w:ascii="Aptos" w:hAnsi="Aptos"/>
                <w:sz w:val="18"/>
              </w:rPr>
              <w:t>TFRS reporting; BOI investment-promoted entity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Vietnam</w:t>
            </w:r>
          </w:p>
        </w:tc>
        <w:tc>
          <w:tcPr>
            <w:tcW w:type="dxa" w:w="2041"/>
          </w:tcPr>
          <w:p>
            <w:r/>
            <w:r>
              <w:rPr>
                <w:rFonts w:ascii="Aptos" w:hAnsi="Aptos"/>
                <w:sz w:val="18"/>
              </w:rPr>
              <w:t>SBV + State Securities Commission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Zava Vietnam JSC (subsidiary, not listed)</w:t>
            </w:r>
          </w:p>
        </w:tc>
        <w:tc>
          <w:tcPr>
            <w:tcW w:type="dxa" w:w="3969"/>
          </w:tcPr>
          <w:p>
            <w:r/>
            <w:r>
              <w:rPr>
                <w:rFonts w:ascii="Aptos" w:hAnsi="Aptos"/>
                <w:sz w:val="18"/>
              </w:rPr>
              <w:t>VAS (Vietnamese Accounting Standards); Decree 13/2023 on Personal Data Protection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7B.2 Banking &amp; Financial-Services Regulators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Zava Financial Services division is dual-supervised by Bank Negara Malaysia (BNM) for the MY entity and by Bank Indonesia (BI) and OJK for the ID entity. Compliance is owned by the FS Division CRO with a direct reporting line to the Group Audit &amp; Risk Committee.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Regulator</w:t>
            </w:r>
          </w:p>
        </w:tc>
        <w:tc>
          <w:tcPr>
            <w:tcW w:type="dxa" w:w="255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5102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Key Frameworks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Bank Negara Malaysia (BNM)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Zava Financial Services (M) Bhd</w:t>
            </w:r>
          </w:p>
        </w:tc>
        <w:tc>
          <w:tcPr>
            <w:tcW w:type="dxa" w:w="5102"/>
          </w:tcPr>
          <w:p>
            <w:r/>
            <w:r>
              <w:rPr>
                <w:rFonts w:ascii="Aptos" w:hAnsi="Aptos"/>
                <w:sz w:val="18"/>
              </w:rPr>
              <w:t>BNM Risk Management in Technology (RMiT); BNM Risk Management &amp; Corporate Governance (RMCG); BNM Capital Adequacy Framework (Basel III); AMLA 2001 / FATF Recommendations; Financial Services Act 2013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Bank Indonesia (BI) + OJK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PT Zava Multi Finance</w:t>
            </w:r>
          </w:p>
        </w:tc>
        <w:tc>
          <w:tcPr>
            <w:tcW w:type="dxa" w:w="5102"/>
          </w:tcPr>
          <w:p>
            <w:r/>
            <w:r>
              <w:rPr>
                <w:rFonts w:ascii="Aptos" w:hAnsi="Aptos"/>
                <w:sz w:val="18"/>
              </w:rPr>
              <w:t>POJK 35/2018 (multi-finance); BI Regulation No.23/6/PBI/2021 (payment services); UU 4/2023 (Financial Sector Development &amp; Strengthening / "P2SK")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Bursa Malaysia (FS-listed Sukuk)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Sukuk Murabahah issuance</w:t>
            </w:r>
          </w:p>
        </w:tc>
        <w:tc>
          <w:tcPr>
            <w:tcW w:type="dxa" w:w="5102"/>
          </w:tcPr>
          <w:p>
            <w:r/>
            <w:r>
              <w:rPr>
                <w:rFonts w:ascii="Aptos" w:hAnsi="Aptos"/>
                <w:sz w:val="18"/>
              </w:rPr>
              <w:t>SC Sukuk Guidelines; Shariah Advisory Council resolutions; LOLA submission framework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7B.3 Sustainability &amp; Climate Disclosure Standards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 Group commits to climate-aligned, investor-grade sustainability disclosure. The framework used and the adoption roadmap are set out below.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Standard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Applicability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TCFD (Taskforce on Climate-related Financial Disclosures)</w:t>
            </w:r>
          </w:p>
        </w:tc>
        <w:tc>
          <w:tcPr>
            <w:tcW w:type="dxa" w:w="3402"/>
          </w:tcPr>
          <w:p>
            <w:r/>
            <w:r>
              <w:rPr>
                <w:rFonts w:ascii="Aptos" w:hAnsi="Aptos"/>
                <w:sz w:val="18"/>
              </w:rPr>
              <w:t>Group Annual Report + Sustainability Report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Fully adopted from FY2024 (4 pillars × 11 recommendations)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IFRS S1 + S2 / ISSB (Climate-related Disclosures)</w:t>
            </w:r>
          </w:p>
        </w:tc>
        <w:tc>
          <w:tcPr>
            <w:tcW w:type="dxa" w:w="3402"/>
          </w:tcPr>
          <w:p>
            <w:r/>
            <w:r>
              <w:rPr>
                <w:rFonts w:ascii="Aptos" w:hAnsi="Aptos"/>
                <w:sz w:val="18"/>
              </w:rPr>
              <w:t>Group consolidated; mandatory for Bursa Main Market issuers from FY2027 (NACRA roadmap)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Gap-assessment FY2025; phased adoption FY2026; full adoption FY2027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GRI Universal Standards 2021</w:t>
            </w:r>
          </w:p>
        </w:tc>
        <w:tc>
          <w:tcPr>
            <w:tcW w:type="dxa" w:w="3402"/>
          </w:tcPr>
          <w:p>
            <w:r/>
            <w:r>
              <w:rPr>
                <w:rFonts w:ascii="Aptos" w:hAnsi="Aptos"/>
                <w:sz w:val="18"/>
              </w:rPr>
              <w:t>Group Sustainability Report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In accordance — Comprehensive option, externally assured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SBTi (Science Based Targets initiative)</w:t>
            </w:r>
          </w:p>
        </w:tc>
        <w:tc>
          <w:tcPr>
            <w:tcW w:type="dxa" w:w="3402"/>
          </w:tcPr>
          <w:p>
            <w:r/>
            <w:r>
              <w:rPr>
                <w:rFonts w:ascii="Aptos" w:hAnsi="Aptos"/>
                <w:sz w:val="18"/>
              </w:rPr>
              <w:t>Group Net-Zero pathway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Targets validated 2024: 1.5°C-aligned; -42% Scope 1+2 by 2030 (vs 2022 base); Net-Zero by 2050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UNGC (UN Global Compact)</w:t>
            </w:r>
          </w:p>
        </w:tc>
        <w:tc>
          <w:tcPr>
            <w:tcW w:type="dxa" w:w="3402"/>
          </w:tcPr>
          <w:p>
            <w:r/>
            <w:r>
              <w:rPr>
                <w:rFonts w:ascii="Aptos" w:hAnsi="Aptos"/>
                <w:sz w:val="18"/>
              </w:rPr>
              <w:t>Group-wide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Signatory since 2018; Communication on Progress filed annually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CDP (Carbon Disclosure Project)</w:t>
            </w:r>
          </w:p>
        </w:tc>
        <w:tc>
          <w:tcPr>
            <w:tcW w:type="dxa" w:w="3402"/>
          </w:tcPr>
          <w:p>
            <w:r/>
            <w:r>
              <w:rPr>
                <w:rFonts w:ascii="Aptos" w:hAnsi="Aptos"/>
                <w:sz w:val="18"/>
              </w:rPr>
              <w:t>Climate + Water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Disclosed since 2019; current rating B (Climate), B (Water)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RSPO (Roundtable on Sustainable Palm Oil)</w:t>
            </w:r>
          </w:p>
        </w:tc>
        <w:tc>
          <w:tcPr>
            <w:tcW w:type="dxa" w:w="3402"/>
          </w:tcPr>
          <w:p>
            <w:r/>
            <w:r>
              <w:rPr>
                <w:rFonts w:ascii="Aptos" w:hAnsi="Aptos"/>
                <w:sz w:val="18"/>
              </w:rPr>
              <w:t>Zava Agribusiness — palm oil estates and mills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Certified RSPO P&amp;C 2018 since 2020; ASA-1 audit FY2024 closed without major NCR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Bursa Malaysia ESG Reporting Guide (3rd edition, 2022)</w:t>
            </w:r>
          </w:p>
        </w:tc>
        <w:tc>
          <w:tcPr>
            <w:tcW w:type="dxa" w:w="3402"/>
          </w:tcPr>
          <w:p>
            <w:r/>
            <w:r>
              <w:rPr>
                <w:rFonts w:ascii="Aptos" w:hAnsi="Aptos"/>
                <w:sz w:val="18"/>
              </w:rPr>
              <w:t>Listed entity disclosure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Aligned; informs FBM4Good index inclusion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POJK 51/2017 (ID Sustainability Reporting)</w:t>
            </w:r>
          </w:p>
        </w:tc>
        <w:tc>
          <w:tcPr>
            <w:tcW w:type="dxa" w:w="3402"/>
          </w:tcPr>
          <w:p>
            <w:r/>
            <w:r>
              <w:rPr>
                <w:rFonts w:ascii="Aptos" w:hAnsi="Aptos"/>
                <w:sz w:val="18"/>
              </w:rPr>
              <w:t>PT Zava Pharmaceuticals Tbk and PT Zava Agribusiness Tbk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Compliant; LST submission with Annual LK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7B.4 Other Regulatory Touchpoints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Tax — LHDN (MY) under the Income Tax Act 1967; DGT / DJP (ID) under UU HPP 2021; transfer-pricing master file + local file with Group structure documentation per OECD BEPS Action 13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Trade &amp; Investment — MITI (MY) for export licensing and FTA preferences (RCEP, ATIGA, MJEPA); MIDA for investment-incentive applications; BKPM (ID) for foreign-investment licensing (OSS-RBA)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Halal — JAKIM (MY) for Halal certification of Zava Pharmaceuticals MY production; BPJPH (ID) under UU JPH 33/2014 for Halal certification of Indonesia operations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Personal Data — JPDP / KKD (Jabatan Perlindungan Data Peribadi) MY under PDPA 2010 as amended by Act A1709/2024; Lembaga PDP ID under UU 27/2022 (UU PDP)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Workplace — DOSH MY under OSHA 1994 / OSH (Amendment) Act 2022; Kemnaker / BPJS Ketenagakerjaan ID under UU 13/2003 (Cipta Kerja amendments) and UU 1/1970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8. Strategy Cascade &amp; Governance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 Forward 2030 is operationalised through a structured cascade and governance rhythm.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8.1 KPI Cascade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Group strategic KPIs (15) — owned by Group ExCo, tracked monthly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Division strategic KPIs (8-10 per division) — owned by Division CEO, cascaded to function heads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Function strategic KPIs (5-8 per function) — owned by Function head, cascaded to teams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Individual KPIs — every JG5+ employee has minimum two strategy-aligned KPIs in their annual plan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8.2 Governance Cadence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Forum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Lead</w:t>
            </w:r>
          </w:p>
        </w:tc>
        <w:tc>
          <w:tcPr>
            <w:tcW w:type="dxa" w:w="368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Focus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Group ExCo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Weekly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CEO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Operational rhythm + emerging issues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Group Strategy Council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Monthly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CEO + Strategy Director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KPI tracking, recovery plans, M&amp;A pipeline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Investment Committee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Monthly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CFO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Capex &gt; MYR 100M, M&amp;A, divestments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Audit &amp; Risk Committee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Quarterly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INED Chair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Risk register, internal audit, financial integrity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Sustainability Committee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Quarterly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INED Chair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Climate KPIs, ESG disclosures, social agenda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Board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Bi-monthly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Chairman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Strategy review, major decisions, regulatory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Strategy Refresh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Annual (Sept)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Strategy Director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Full Zava Forward 2030 refresh + cascade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Strategy Deep-Refresh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3-yearly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CEO + Board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Major recalibration of pillars and capital allocation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 w:val="0"/>
          <w:i/>
          <w:sz w:val="20"/>
        </w:rPr>
        <w:t>Strategy delivery is the single most important deliverable of every senior leader. It is reflected in compensation, career outcomes, and accountability conversations. Zava Forward 2030 is not a document; it is the operating system of the Group.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