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6"/>
        </w:rPr>
        <w:t>Zava Group CEO Daily Briefing Template</w:t>
      </w:r>
    </w:p>
    <w:p>
      <w:pPr>
        <w:jc w:val="center"/>
      </w:pPr>
      <w:r>
        <w:rPr>
          <w:i/>
          <w:sz w:val="20"/>
        </w:rPr>
        <w:t>Date: {Date} | Author: Sasha Ouellet (CoS)</w:t>
      </w:r>
    </w:p>
    <w:p/>
    <w:p>
      <w:pPr>
        <w:pStyle w:val="Heading1"/>
      </w:pPr>
      <w:r>
        <w:t>Top 3 Risks Today</w:t>
      </w:r>
    </w:p>
    <w:p>
      <w:pPr>
        <w:pStyle w:val="ListBullet"/>
      </w:pPr>
      <w:r>
        <w:t>Risk 1 — Decision / owner / deadline / regulator or stakeholder impact.</w:t>
      </w:r>
    </w:p>
    <w:p>
      <w:pPr>
        <w:pStyle w:val="ListBullet"/>
      </w:pPr>
      <w:r>
        <w:t>Risk 2 — Decision / owner / deadline / financial exposure.</w:t>
      </w:r>
    </w:p>
    <w:p>
      <w:pPr>
        <w:pStyle w:val="ListBullet"/>
      </w:pPr>
      <w:r>
        <w:t>Risk 3 — Decision / owner / deadline / reputational impact.</w:t>
      </w:r>
    </w:p>
    <w:p>
      <w:pPr>
        <w:pStyle w:val="Heading1"/>
      </w:pPr>
      <w:r>
        <w:t>Top 3 Opportunities</w:t>
      </w:r>
    </w:p>
    <w:p>
      <w:pPr>
        <w:pStyle w:val="ListBullet"/>
      </w:pPr>
      <w:r>
        <w:t>Opportunity 1 — value at stake / next step / executive sponsor.</w:t>
      </w:r>
    </w:p>
    <w:p>
      <w:pPr>
        <w:pStyle w:val="ListBullet"/>
      </w:pPr>
      <w:r>
        <w:t>Opportunity 2 — customer, partner, or regulator angle.</w:t>
      </w:r>
    </w:p>
    <w:p>
      <w:pPr>
        <w:pStyle w:val="ListBullet"/>
      </w:pPr>
      <w:r>
        <w:t>Opportunity 3 — what the CEO can unlock today.</w:t>
      </w:r>
    </w:p>
    <w:p>
      <w:pPr>
        <w:pStyle w:val="Heading1"/>
      </w:pPr>
      <w:r>
        <w:t>Top 3 People Decisions</w:t>
      </w:r>
    </w:p>
    <w:p>
      <w:pPr>
        <w:pStyle w:val="ListBullet"/>
      </w:pPr>
      <w:r>
        <w:t>Critical appointment, succession, or retention call.</w:t>
      </w:r>
    </w:p>
    <w:p>
      <w:pPr>
        <w:pStyle w:val="ListBullet"/>
      </w:pPr>
      <w:r>
        <w:t>Escalated employee relations or safety matter.</w:t>
      </w:r>
    </w:p>
    <w:p>
      <w:pPr>
        <w:pStyle w:val="ListBullet"/>
      </w:pPr>
      <w:r>
        <w:t>Leadership communication or recognition moment.</w:t>
      </w:r>
    </w:p>
    <w:p>
      <w:pPr>
        <w:pStyle w:val="Heading1"/>
      </w:pPr>
      <w:r>
        <w:t>Today's Calendar Anchors</w:t>
      </w:r>
    </w:p>
    <w:p>
      <w:pPr>
        <w:pStyle w:val="ListBullet"/>
      </w:pPr>
      <w:r>
        <w:t>BNM / MAS / OJK / Bursa / IDX touchpoints and any required briefing notes.</w:t>
      </w:r>
    </w:p>
    <w:p>
      <w:pPr>
        <w:pStyle w:val="ListBullet"/>
      </w:pPr>
      <w:r>
        <w:t>Investor, Board, or ExCo preparation windows.</w:t>
      </w:r>
    </w:p>
    <w:p>
      <w:pPr>
        <w:pStyle w:val="ListBullet"/>
      </w:pPr>
      <w:r>
        <w:t>Division-specific site, customer, or partner meetings.</w:t>
      </w:r>
    </w:p>
    <w:p>
      <w:pPr>
        <w:pStyle w:val="Heading1"/>
      </w:pPr>
      <w:r>
        <w:t>One Thing to Drop</w:t>
      </w:r>
    </w:p>
    <w:p>
      <w:pPr>
        <w:pStyle w:val="ListBullet"/>
      </w:pPr>
      <w:r>
        <w:t>Meeting, report, or decision that should be delegated, deferred, or removed to protect CEO focus.</w:t>
      </w:r>
    </w:p>
    <w:p>
      <w:r>
        <w:t>Operating note: keep the briefing to one page. Highlight only matters requiring CEO judgement, trade-off, or external signalling.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36609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