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Zava Group Strategy Refresh Memo FY2027–FY2029</w:t>
      </w:r>
    </w:p>
    <w:p>
      <w:pPr>
        <w:jc w:val="center"/>
      </w:pPr>
      <w:r>
        <w:rPr>
          <w:i/>
          <w:sz w:val="20"/>
        </w:rPr>
        <w:t>Prepared for the Board Strategy Day | 26 May 2026</w:t>
      </w:r>
    </w:p>
    <w:p>
      <w:pPr>
        <w:jc w:val="center"/>
      </w:pPr>
      <w:r>
        <w:rPr>
          <w:sz w:val="20"/>
        </w:rPr>
        <w:t>Author: Mod Admin (Group CEO)</w:t>
      </w:r>
    </w:p>
    <w:p/>
    <w:p>
      <w:r>
        <w:t>Executive thesis: Zava should position itself as a disciplined ASEAN compounder: productivity-led, lower-carbon, and digitally scaled, with capital allocated only where we have advantaged assets and regulator confidence.</w:t>
      </w:r>
    </w:p>
    <w:p>
      <w:pPr>
        <w:pStyle w:val="Heading1"/>
      </w:pPr>
      <w:r>
        <w:t>History of Zava</w:t>
      </w:r>
    </w:p>
    <w:p>
      <w:r>
        <w:t>Zava Group began as a Malaysian trading and plantation enterprise and has evolved into a diversified ASEAN operating group spanning banking, plantations, energy, pharmaceuticals and consumer platforms. The diversification was never intended as a collection of unrelated holdings; it was built around cash generation, trust, licence-to-operate, and operating talent transferable across regulated markets.</w:t>
      </w:r>
    </w:p>
    <w:p>
      <w:r>
        <w:t>The Group entered financial services to deepen merchant relationships and later expanded across Singapore and Indonesia corridors. Energy investments followed industrial customer demand and national infrastructure priorities. Pharma and consumer businesses were added to capture ASEAN healthcare and household income growth. The common thread is operational discipline in sectors where regulators, communities and long-term capital matter.</w:t>
      </w:r>
    </w:p>
    <w:p>
      <w:r>
        <w:t>The current portfolio employs 12,400 colleagues across Malaysia, Indonesia, Singapore, Thailand and the Philippines. FY2026 revenue is forecast at MYR 28.4B with 19.7% EBITDA margin. Zava is not the largest player in each sector, but it has credible positions, trusted brands, and balance sheet optionality.</w:t>
      </w:r>
    </w:p>
    <w:p>
      <w:pPr>
        <w:pStyle w:val="Heading1"/>
      </w:pPr>
      <w:r>
        <w:t>Industry Context (ASEAN)</w:t>
      </w:r>
    </w:p>
    <w:p>
      <w:r>
        <w:t>ASEAN growth remains attractive but uneven. Malaysia benefits from semiconductor and energy transition investments, while Indonesia offers scale and domestic demand but requires patient local partnerships. Singapore remains a financing, data and treasury hub shaped by MAS technology and operational resilience expectations. Thailand and the Philippines provide selective consumer and healthcare growth lanes.</w:t>
      </w:r>
    </w:p>
    <w:p>
      <w:r>
        <w:t>Regulatory intensity is rising. BNM is focused on credit buffers, conduct and operational resilience. Bursa and IDX expectations on disclosure discipline are stricter. OJK approvals and local partner governance can affect transaction timing. EU deforestation regulation affects palm oil access even when the rule is extra-territorial. Customers and investors increasingly expect credible carbon pathways rather than broad claims.</w:t>
      </w:r>
    </w:p>
    <w:p>
      <w:r>
        <w:t>Capital is no longer cheap. FY2027 planning assumes higher-for-longer rates, volatile MYR/IDR and greater scrutiny on conglomerate discounts. The market will reward Zava if we demonstrate cash conversion, capital discipline and visible productivity gains.</w:t>
      </w:r>
    </w:p>
    <w:p>
      <w:pPr>
        <w:pStyle w:val="Heading1"/>
      </w:pPr>
      <w:r>
        <w:t>Strategic Question</w:t>
      </w:r>
    </w:p>
    <w:p>
      <w:r>
        <w:t>The core question is not whether Zava should be diversified. The question is how Zava earns the right to remain diversified by making each division more valuable inside the Group than outside it. That requires shared capabilities in capital allocation, risk, data, talent and reputation.</w:t>
      </w:r>
    </w:p>
    <w:p>
      <w:r>
        <w:t>We should stop funding average businesses because they are familiar. We should fund advantaged businesses where Zava can improve returns through scale, regulatory trust, operating excellence, or cross-division data and customer insight.</w:t>
      </w:r>
    </w:p>
    <w:p>
      <w:r>
        <w:br w:type="page"/>
      </w:r>
    </w:p>
    <w:p>
      <w:pPr>
        <w:pStyle w:val="Heading1"/>
      </w:pPr>
      <w:r>
        <w:t>Three Strategic Moves — Productivity / Decarbonisation / Digital</w:t>
      </w:r>
    </w:p>
    <w:p>
      <w:r>
        <w:t>Move 1: Productivity. Every division should commit to a quantified FY27 productivity target. Bank should lower cost-to-income through AI-assisted service and credit operations. Plantations should scale mechanisation and predictive agronomy. Energy should reduce unplanned downtime. Pharma should shorten batch-release cycle time. Consumer should improve fulfilment cost per order.</w:t>
      </w:r>
    </w:p>
    <w:p>
      <w:r>
        <w:t>Move 2: Decarbonisation. Decarbonisation must be practical and return-aware. Plantations biomass, methane detection in Energy, renewable procurement, and logistics optimisation are near-term levers. We will not over-promise on long-dated offsets. We will measure emissions intensity and link capex to verified reductions.</w:t>
      </w:r>
    </w:p>
    <w:p>
      <w:r>
        <w:t>Move 3: Digital. Digital should mean better decisions and lower friction, not more apps. Priority platforms are Bank AML and SME credit analytics, Plantations traceability, Energy asset performance, Pharma regulatory dossier management, and Consumer marketplace data. The Group should establish an AI Productivity Office to set standards, measure benefits and manage risk.</w:t>
      </w:r>
    </w:p>
    <w:p>
      <w:r>
        <w:br w:type="page"/>
      </w:r>
    </w:p>
    <w:p>
      <w:pPr>
        <w:pStyle w:val="Heading1"/>
      </w:pPr>
      <w:r>
        <w:t>Capital Allocation</w:t>
      </w:r>
    </w:p>
    <w:p>
      <w:r>
        <w:t>FY27 free capital is estimated at RM2.8B after liquidity reserves and covenant headroom. Proposed uses are Bank Tier-2 capital top-up (RM600M), Plantations Sabah replanting (RM450M), Energy LSS5 solar and Java IPP option (RM800M), Pharma biosimilars expansion (RM550M), and Consumer e-commerce platform (RM400M).</w:t>
      </w:r>
    </w:p>
    <w:p>
      <w:r>
        <w:t>Capital should be released in gates, not all at once. Energy requires partner exclusivity and regulatory comfort. Pharma requires regulatory affairs capacity. Consumer requires Bandung unit economics proof. Plantations requires traceability and labour milestones. Bank capital should follow BNM engagement and stress-test results.</w:t>
      </w:r>
    </w:p>
    <w:p>
      <w:pPr>
        <w:pStyle w:val="Heading1"/>
      </w:pPr>
      <w:r>
        <w:t>Talent</w:t>
      </w:r>
    </w:p>
    <w:p>
      <w:r>
        <w:t>Succession coverage has improved to 71% for critical roles, but the gaps are meaningful: cyber risk, regulatory affairs, data product management and frontline supervisors. We need a smaller number of stronger leadership moves rather than broad programmes.</w:t>
      </w:r>
    </w:p>
    <w:p>
      <w:r>
        <w:t>The FY27 talent agenda should include a Group AI Productivity Office, two regional regulatory affairs hires for Pharma, a cyber/AML control tower for Bank, and Plantations retention initiatives linked to housing, safety and mechanisation pathways.</w:t>
      </w:r>
    </w:p>
    <w:p>
      <w:r>
        <w:br w:type="page"/>
      </w:r>
    </w:p>
    <w:p>
      <w:pPr>
        <w:pStyle w:val="Heading1"/>
      </w:pPr>
      <w:r>
        <w:t>Risks</w:t>
      </w:r>
    </w:p>
    <w:p>
      <w:r>
        <w:t>The top strategic risks are ASEAN demand slowdown, CPO price correction, energy transition execution, biosimilars patent cliff timing, and digital platform competition. Operational risks include Pengerang reliability, AML cyber attacks, sterile line validation, worker availability and consumer fulfilment quality. Regulatory risks include EU deforestation, Bursa/IDX disclosure breach, MAS technology risk requirements, OJK approvals and BNM conduct scrutiny.</w:t>
      </w:r>
    </w:p>
    <w:p>
      <w:r>
        <w:t>Mitigation requires named executive ownership. The CEO should review the top ten risks monthly until FY27 capital gates are closed.</w:t>
      </w:r>
    </w:p>
    <w:p>
      <w:pPr>
        <w:pStyle w:val="Heading1"/>
      </w:pPr>
      <w:r>
        <w:t>Financial Outlook FY27-29</w:t>
      </w:r>
    </w:p>
    <w:p>
      <w:r>
        <w:t>Base case assumes revenue CAGR of 4.5–5.5%, EBITDA margin expanding from 19.7% to approximately 20.8% by FY29, and ROIC improving by 120–160 bps if productivity benefits are delivered. Downside case assumes CPO and IDR pressure, delayed Energy FID and biosimilars tender deferral, reducing FY29 EBITDA by MYR 650–800M.</w:t>
      </w:r>
    </w:p>
    <w:p>
      <w:r>
        <w:t>Upside case requires faster Consumer digital adoption, better Bank SME cross-sell, and Energy renewable returns above mid-case IRR. Capital discipline matters more than headline growth.</w:t>
      </w:r>
    </w:p>
    <w:p>
      <w:r>
        <w:br w:type="page"/>
      </w:r>
    </w:p>
    <w:p>
      <w:pPr>
        <w:pStyle w:val="Heading1"/>
      </w:pPr>
      <w:r>
        <w:t>Appendix</w:t>
      </w:r>
    </w:p>
    <w:p>
      <w:r>
        <w:t>Appendix A: Division-by-division FY27 KPI targets will be finalised by 31 July 2026. Appendix B: Regulatory engagement calendar includes BNM capital dialogue, Bursa disclosure controls refresh, OJK partner approval check-ins, MAS technology resilience review and IDX affiliate reporting protocol. Appendix C: Investor narrative should centre on disciplined ASEAN compounding, cash conversion, lower carbon intensity and measured AI productivity.</w:t>
      </w:r>
    </w:p>
    <w:p>
      <w:pPr>
        <w:pStyle w:val="Heading2"/>
      </w:pPr>
      <w:r>
        <w:t>Illustrative FY27-29 Targets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Metric</w:t>
            </w:r>
          </w:p>
        </w:tc>
        <w:tc>
          <w:tcPr>
            <w:tcW w:type="dxa" w:w="2016"/>
          </w:tcPr>
          <w:p>
            <w:r>
              <w:t>FY26 Forecast</w:t>
            </w:r>
          </w:p>
        </w:tc>
        <w:tc>
          <w:tcPr>
            <w:tcW w:type="dxa" w:w="2016"/>
          </w:tcPr>
          <w:p>
            <w:r>
              <w:t>FY27</w:t>
            </w:r>
          </w:p>
        </w:tc>
        <w:tc>
          <w:tcPr>
            <w:tcW w:type="dxa" w:w="2016"/>
          </w:tcPr>
          <w:p>
            <w:r>
              <w:t>FY28</w:t>
            </w:r>
          </w:p>
        </w:tc>
        <w:tc>
          <w:tcPr>
            <w:tcW w:type="dxa" w:w="2016"/>
          </w:tcPr>
          <w:p>
            <w:r>
              <w:t>FY29</w:t>
            </w:r>
          </w:p>
        </w:tc>
      </w:tr>
      <w:tr>
        <w:tc>
          <w:tcPr>
            <w:tcW w:type="dxa" w:w="2016"/>
          </w:tcPr>
          <w:p>
            <w:r>
              <w:t>Revenue</w:t>
            </w:r>
          </w:p>
        </w:tc>
        <w:tc>
          <w:tcPr>
            <w:tcW w:type="dxa" w:w="2016"/>
          </w:tcPr>
          <w:p>
            <w:r>
              <w:t>MYR 28.4B</w:t>
            </w:r>
          </w:p>
        </w:tc>
        <w:tc>
          <w:tcPr>
            <w:tcW w:type="dxa" w:w="2016"/>
          </w:tcPr>
          <w:p>
            <w:r>
              <w:t>MYR 29.7B</w:t>
            </w:r>
          </w:p>
        </w:tc>
        <w:tc>
          <w:tcPr>
            <w:tcW w:type="dxa" w:w="2016"/>
          </w:tcPr>
          <w:p>
            <w:r>
              <w:t>MYR 31.2B</w:t>
            </w:r>
          </w:p>
        </w:tc>
        <w:tc>
          <w:tcPr>
            <w:tcW w:type="dxa" w:w="2016"/>
          </w:tcPr>
          <w:p>
            <w:r>
              <w:t>MYR 32.8B</w:t>
            </w:r>
          </w:p>
        </w:tc>
      </w:tr>
      <w:tr>
        <w:tc>
          <w:tcPr>
            <w:tcW w:type="dxa" w:w="2016"/>
          </w:tcPr>
          <w:p>
            <w:r>
              <w:t>EBITDA margin</w:t>
            </w:r>
          </w:p>
        </w:tc>
        <w:tc>
          <w:tcPr>
            <w:tcW w:type="dxa" w:w="2016"/>
          </w:tcPr>
          <w:p>
            <w:r>
              <w:t>19.7%</w:t>
            </w:r>
          </w:p>
        </w:tc>
        <w:tc>
          <w:tcPr>
            <w:tcW w:type="dxa" w:w="2016"/>
          </w:tcPr>
          <w:p>
            <w:r>
              <w:t>20.0%</w:t>
            </w:r>
          </w:p>
        </w:tc>
        <w:tc>
          <w:tcPr>
            <w:tcW w:type="dxa" w:w="2016"/>
          </w:tcPr>
          <w:p>
            <w:r>
              <w:t>20.4%</w:t>
            </w:r>
          </w:p>
        </w:tc>
        <w:tc>
          <w:tcPr>
            <w:tcW w:type="dxa" w:w="2016"/>
          </w:tcPr>
          <w:p>
            <w:r>
              <w:t>20.8%</w:t>
            </w:r>
          </w:p>
        </w:tc>
      </w:tr>
      <w:tr>
        <w:tc>
          <w:tcPr>
            <w:tcW w:type="dxa" w:w="2016"/>
          </w:tcPr>
          <w:p>
            <w:r>
              <w:t>ROIC</w:t>
            </w:r>
          </w:p>
        </w:tc>
        <w:tc>
          <w:tcPr>
            <w:tcW w:type="dxa" w:w="2016"/>
          </w:tcPr>
          <w:p>
            <w:r>
              <w:t>10.2%</w:t>
            </w:r>
          </w:p>
        </w:tc>
        <w:tc>
          <w:tcPr>
            <w:tcW w:type="dxa" w:w="2016"/>
          </w:tcPr>
          <w:p>
            <w:r>
              <w:t>10.7%</w:t>
            </w:r>
          </w:p>
        </w:tc>
        <w:tc>
          <w:tcPr>
            <w:tcW w:type="dxa" w:w="2016"/>
          </w:tcPr>
          <w:p>
            <w:r>
              <w:t>11.1%</w:t>
            </w:r>
          </w:p>
        </w:tc>
        <w:tc>
          <w:tcPr>
            <w:tcW w:type="dxa" w:w="2016"/>
          </w:tcPr>
          <w:p>
            <w:r>
              <w:t>11.6%</w:t>
            </w:r>
          </w:p>
        </w:tc>
      </w:tr>
      <w:tr>
        <w:tc>
          <w:tcPr>
            <w:tcW w:type="dxa" w:w="2016"/>
          </w:tcPr>
          <w:p>
            <w:r>
              <w:t>Scope 1+2 intensity</w:t>
            </w:r>
          </w:p>
        </w:tc>
        <w:tc>
          <w:tcPr>
            <w:tcW w:type="dxa" w:w="2016"/>
          </w:tcPr>
          <w:p>
            <w:r>
              <w:t>-8.7% vs FY24</w:t>
            </w:r>
          </w:p>
        </w:tc>
        <w:tc>
          <w:tcPr>
            <w:tcW w:type="dxa" w:w="2016"/>
          </w:tcPr>
          <w:p>
            <w:r>
              <w:t>-11%</w:t>
            </w:r>
          </w:p>
        </w:tc>
        <w:tc>
          <w:tcPr>
            <w:tcW w:type="dxa" w:w="2016"/>
          </w:tcPr>
          <w:p>
            <w:r>
              <w:t>-15%</w:t>
            </w:r>
          </w:p>
        </w:tc>
        <w:tc>
          <w:tcPr>
            <w:tcW w:type="dxa" w:w="2016"/>
          </w:tcPr>
          <w:p>
            <w:r>
              <w:t>-20%</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