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Zava Group Q4 FY2026 Town Hall Script</w:t>
      </w:r>
    </w:p>
    <w:p>
      <w:pPr>
        <w:jc w:val="center"/>
      </w:pPr>
      <w:r>
        <w:rPr>
          <w:i/>
          <w:sz w:val="20"/>
        </w:rPr>
        <w:t>Audience: 12,400 employees | Approx. 10-minute read</w:t>
      </w:r>
    </w:p>
    <w:p>
      <w:pPr>
        <w:jc w:val="center"/>
      </w:pPr>
      <w:r>
        <w:rPr>
          <w:sz w:val="20"/>
        </w:rPr>
        <w:t>Speaker: Mod Admin, Group CEO</w:t>
      </w:r>
    </w:p>
    <w:p/>
    <w:p>
      <w:pPr>
        <w:pStyle w:val="Heading1"/>
      </w:pPr>
      <w:r>
        <w:t>Welcome</w:t>
      </w:r>
    </w:p>
    <w:p>
      <w:r>
        <w:t>Good morning, good afternoon and good evening to colleagues joining from Kuala Lumpur, Johor, Sabah, Jakarta, Bandung, Singapore, Bangkok and Manila. Selamat pagi and terima kasih for making time. Selamat datang to our teams in Malaysia and Indonesia; good to see our Singapore, Thailand and Philippines colleagues online as well.</w:t>
      </w:r>
    </w:p>
    <w:p>
      <w:r>
        <w:t>Today is about three things: what we delivered in Q4, what we learned, and what I am asking each of us to do as we enter FY2027.</w:t>
      </w:r>
    </w:p>
    <w:p>
      <w:pPr>
        <w:pStyle w:val="Heading1"/>
      </w:pPr>
      <w:r>
        <w:t>Q4 highlights</w:t>
      </w:r>
    </w:p>
    <w:p>
      <w:r>
        <w:t>At Group level, we are on track for MYR 28.4B revenue and 19.7% EBITDA margin. These are not just numbers. They represent customers served, crops harvested, medicines supplied, energy kept reliable, and orders delivered accurately.</w:t>
      </w:r>
    </w:p>
    <w:p>
      <w:r>
        <w:t>Zava Bank helped a Johor SME exporter move from paper-heavy trade finance to a digital workflow, cutting approval time from nine days to three while keeping BNM conduct and AML requirements front and centre.</w:t>
      </w:r>
    </w:p>
    <w:p>
      <w:r>
        <w:t>Zava Plantations in Sabah completed a replanting block where supervisors used drone imagery and soil data to identify underperforming plots. The team improved early-stage survival rates and reduced manual inspection hours. This is what productivity looks like on the ground.</w:t>
      </w:r>
    </w:p>
    <w:p>
      <w:r>
        <w:t>Zava Energy at Pengerang achieved 96.8% uptime during a period of volatile demand. A maintenance crew caught a compressor vibration issue before it became an outage. That prevention protected customer supply and team safety.</w:t>
      </w:r>
    </w:p>
    <w:p>
      <w:r>
        <w:t>Zava Pharma maintained sterile line reliability while preparing biosimilar tender files for Malaysia and Indonesia. The regulatory team worked late nights to make sure every dossier was accurate, auditable and respectful of patient trust.</w:t>
      </w:r>
    </w:p>
    <w:p>
      <w:r>
        <w:t>Zava Consumer in Bandung lifted fulfilment accuracy to 98.4%. One customer story stood out: a family in West Java received essential health products on time during a local disruption because the team rerouted inventory through a secondary node.</w:t>
      </w:r>
    </w:p>
    <w:p>
      <w:pPr>
        <w:pStyle w:val="Heading1"/>
      </w:pPr>
      <w:r>
        <w:t>Looking Ahead</w:t>
      </w:r>
    </w:p>
    <w:p>
      <w:r>
        <w:t>FY2027 will not be easy. Ringgit and rupiah volatility will affect imported costs. EU deforestation requirements will require stronger documentation. Digital competition will keep moving. Regulators including BNM, MAS, OJK, Bursa and IDX will rightly expect stronger resilience and governance.</w:t>
      </w:r>
    </w:p>
    <w:p>
      <w:r>
        <w:t>Our strategy has three moves: productivity, decarbonisation and digital. Productivity means removing waste and making work safer. Decarbonisation means practical reductions that customers and communities can verify. Digital means better decisions, faster service and stronger controls.</w:t>
      </w:r>
    </w:p>
    <w:p>
      <w:pPr>
        <w:pStyle w:val="Heading1"/>
      </w:pPr>
      <w:r>
        <w:t>The One Ask</w:t>
      </w:r>
    </w:p>
    <w:p>
      <w:r>
        <w:t>My one ask is this: find one measurable improvement in your area before the end of Q1 FY2027. It can be one hour saved, one safety risk removed, one customer friction point fixed, one data field cleaned, one process simplified, or one colleague coached. Make it measurable and share it with your manager. Small improvements across 12,400 people become a large strategic advantage.</w:t>
      </w:r>
    </w:p>
    <w:p>
      <w:pPr>
        <w:pStyle w:val="Heading1"/>
      </w:pPr>
      <w:r>
        <w:t>Closing</w:t>
      </w:r>
    </w:p>
    <w:p>
      <w:r>
        <w:t>Thank you for your discipline, care and ambition. We are a Malaysian-rooted ASEAN group with the privilege of serving millions of customers and communities. Let us earn that privilege every day — with integrity, speed and respect. Terima kasih, thank you, and sampai jumpa.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