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Zava Group Investor Day Narrative — Draft</w:t>
      </w:r>
    </w:p>
    <w:p>
      <w:pPr>
        <w:jc w:val="center"/>
      </w:pPr>
      <w:r>
        <w:rPr>
          <w:i/>
          <w:sz w:val="20"/>
        </w:rPr>
        <w:t>FY2026 close and FY2027 guidance | Confidential working draft</w:t>
      </w:r>
    </w:p>
    <w:p>
      <w:pPr>
        <w:jc w:val="center"/>
      </w:pPr>
      <w:r>
        <w:rPr>
          <w:sz w:val="20"/>
        </w:rPr>
        <w:t>Author: Daichi Maruyama (Head of IR)</w:t>
      </w:r>
    </w:p>
    <w:p/>
    <w:p>
      <w:pPr>
        <w:pStyle w:val="Heading1"/>
      </w:pPr>
      <w:r>
        <w:t>Equity Story</w:t>
      </w:r>
    </w:p>
    <w:p>
      <w:r>
        <w:t>Zava is a Malaysian-rooted ASEAN operating group with five complementary engines: Bank, Plantations, Energy, Pharma and Consumer. The investment case is not diversification for its own sake; it is disciplined compounding through cash-generative assets, regulator trust and productivity-led execution.</w:t>
      </w:r>
    </w:p>
    <w:p>
      <w:r>
        <w:t>The message for investors should be simple: Zava is improving returns while lowering risk. FY26 demonstrates revenue resilience, stronger cash conversion and better ESG evidence. FY27-29 will demonstrate whether productivity, decarbonisation and digital execution can narrow the conglomerate discount.</w:t>
      </w:r>
    </w:p>
    <w:p>
      <w:pPr>
        <w:pStyle w:val="Heading1"/>
      </w:pPr>
      <w:r>
        <w:t>FY26 Recap</w:t>
      </w:r>
    </w:p>
    <w:p>
      <w:r>
        <w:t>FY26 revenue is forecast at approximately MYR 28.4B and EBITDA margin at 19.7%. Four divisions are on or above revenue plan, with Energy volume strong but exposed to pass-through margin dilution. Bank CET1 remains comfortably above BNM expectations. Plantations has recovered yield but still carries EU traceability work. Pharma is preparing for biosimilars expansion. Consumer is proving the Bandung fulfilment model.</w:t>
      </w:r>
    </w:p>
    <w:p>
      <w:r>
        <w:t>Management should acknowledge imperfections: CPO volatility, AML cyber risk, patent cliff scenarios, and regulatory complexity across BNM, MAS, OJK, Bursa and IDX. Credibility comes from naming these issues and showing mitigation.</w:t>
      </w:r>
    </w:p>
    <w:p>
      <w:pPr>
        <w:pStyle w:val="Heading1"/>
      </w:pPr>
      <w:r>
        <w:t>Capital Allocation</w:t>
      </w:r>
    </w:p>
    <w:p>
      <w:r>
        <w:t>FY27 free capital is estimated at RM2.8B. The proposed envelope is allocated to Bank Tier-2 capital top-up (RM600M), Plantations Sabah replanting (RM450M), Energy LSS5 and Java IPP (RM800M), Pharma biosimilars (RM550M) and Consumer e-commerce platform (RM400M).</w:t>
      </w:r>
    </w:p>
    <w:p>
      <w:r>
        <w:t>The key investor point is gating. We will not spend simply because capital is available. Energy requires partner and tariff discipline. Pharma requires regulatory readiness. Consumer requires platform economics. Plantations requires traceability and labour milestones.</w:t>
      </w:r>
    </w:p>
    <w:p>
      <w:pPr>
        <w:pStyle w:val="Heading1"/>
      </w:pPr>
      <w:r>
        <w:t>ESG</w:t>
      </w:r>
    </w:p>
    <w:p>
      <w:r>
        <w:t>ESG should be presented as operating discipline. Scope 1+2 intensity is down 8.7% versus FY24 baseline. Plantations traceability is 94% to plot, with remaining gaps in Sabah and Kalimantan smallholder documentation. Safety LTIFR improved to 0.39. Governance work includes Bursa disclosure controls and IDX affiliate reporting protocol.</w:t>
      </w:r>
    </w:p>
    <w:p>
      <w:r>
        <w:t>Avoid over-claiming. Investors will respect verified reductions and practical plans more than broad net-zero language.</w:t>
      </w:r>
    </w:p>
    <w:p>
      <w:pPr>
        <w:pStyle w:val="Heading1"/>
      </w:pPr>
      <w:r>
        <w:t>Productivity/AI</w:t>
      </w:r>
    </w:p>
    <w:p>
      <w:r>
        <w:t>AI is not a separate strategy; it is a productivity tool. Bank will apply AI-assisted service and transaction monitoring support with strong human controls. Plantations will use agronomy analytics and traceability data. Energy will improve predictive maintenance. Pharma will streamline regulatory dossiers. Consumer will improve demand forecasting and fulfilment accuracy.</w:t>
      </w:r>
    </w:p>
    <w:p>
      <w:r>
        <w:t>The Group AI Productivity Office should report benefits quarterly: hours saved, cost removed, risk controls improved and customer cycle time reduced.</w:t>
      </w:r>
    </w:p>
    <w:p>
      <w:pPr>
        <w:pStyle w:val="Heading1"/>
      </w:pPr>
      <w:r>
        <w:t>FY27 Guidance</w:t>
      </w:r>
    </w:p>
    <w:p>
      <w:r>
        <w:t>Base guidance: revenue growth 4–6%, EBITDA margin around 20.0%, capex within the RM2.8B strategic envelope plus maintenance capex, and net debt/EBITDA maintained below 1.8x. FX assumptions should be disclosed for MYR/IDR sensitivity. Dividend policy remains progressive but subordinate to disciplined reinvestment.</w:t>
      </w:r>
    </w:p>
    <w:p>
      <w:pPr>
        <w:pStyle w:val="Heading1"/>
      </w:pPr>
      <w:r>
        <w:t>Q&amp;A Prep — 12 toughest questions</w:t>
      </w:r>
    </w:p>
    <w:p>
      <w:pPr>
        <w:pStyle w:val="ListNumber"/>
      </w:pPr>
      <w:r>
        <w:rPr>
          <w:b/>
        </w:rPr>
        <w:t>Why should investors accept a conglomerate structure?</w:t>
      </w:r>
    </w:p>
    <w:p>
      <w:r>
        <w:t>Because Zava is proving shared capital discipline, risk governance and productivity benefits; underperforming capital will be gated or recycled.</w:t>
      </w:r>
    </w:p>
    <w:p>
      <w:pPr>
        <w:pStyle w:val="ListNumber"/>
      </w:pPr>
      <w:r>
        <w:rPr>
          <w:b/>
        </w:rPr>
        <w:t>Is RM2.8B too much capex for FY27?</w:t>
      </w:r>
    </w:p>
    <w:p>
      <w:r>
        <w:t>It is an envelope, not a blank cheque. Each use has gates and Board reporting.</w:t>
      </w:r>
    </w:p>
    <w:p>
      <w:pPr>
        <w:pStyle w:val="ListNumber"/>
      </w:pPr>
      <w:r>
        <w:rPr>
          <w:b/>
        </w:rPr>
        <w:t>How exposed are you to CPO price downside?</w:t>
      </w:r>
    </w:p>
    <w:p>
      <w:r>
        <w:t>Plantations is sensitive, but yield improvement, biomass offsets and selective hedging reduce earnings volatility.</w:t>
      </w:r>
    </w:p>
    <w:p>
      <w:pPr>
        <w:pStyle w:val="ListNumber"/>
      </w:pPr>
      <w:r>
        <w:rPr>
          <w:b/>
        </w:rPr>
        <w:t>Will BNM require more capital at the Bank?</w:t>
      </w:r>
    </w:p>
    <w:p>
      <w:r>
        <w:t>Current buffers are comfortable; Tier-2 top-up is proactive optionality after stress-test review.</w:t>
      </w:r>
    </w:p>
    <w:p>
      <w:pPr>
        <w:pStyle w:val="ListNumber"/>
      </w:pPr>
      <w:r>
        <w:rPr>
          <w:b/>
        </w:rPr>
        <w:t>How credible is the Energy renewables return profile?</w:t>
      </w:r>
    </w:p>
    <w:p>
      <w:r>
        <w:t>We will bid selectively and require partner/tariff discipline before final investment decision.</w:t>
      </w:r>
    </w:p>
    <w:p>
      <w:pPr>
        <w:pStyle w:val="ListNumber"/>
      </w:pPr>
      <w:r>
        <w:rPr>
          <w:b/>
        </w:rPr>
        <w:t>What is the biosimilars patent cliff risk?</w:t>
      </w:r>
    </w:p>
    <w:p>
      <w:r>
        <w:t>Timing could affect FY28 revenue, so we are diversifying molecules, strengthening regulatory affairs and securing CMO backup.</w:t>
      </w:r>
    </w:p>
    <w:p>
      <w:pPr>
        <w:pStyle w:val="ListNumber"/>
      </w:pPr>
      <w:r>
        <w:rPr>
          <w:b/>
        </w:rPr>
        <w:t>Are you behind on EU deforestation regulation?</w:t>
      </w:r>
    </w:p>
    <w:p>
      <w:r>
        <w:t>Traceability is at 94%; the remaining gap is documented and externally verified milestones are in place.</w:t>
      </w:r>
    </w:p>
    <w:p>
      <w:pPr>
        <w:pStyle w:val="ListNumber"/>
      </w:pPr>
      <w:r>
        <w:rPr>
          <w:b/>
        </w:rPr>
        <w:t>How will AI benefits be measured?</w:t>
      </w:r>
    </w:p>
    <w:p>
      <w:r>
        <w:t>Quarterly benefits will be tied to cost, cycle time, risk control and customer outcomes, not vanity pilots.</w:t>
      </w:r>
    </w:p>
    <w:p>
      <w:pPr>
        <w:pStyle w:val="ListNumber"/>
      </w:pPr>
      <w:r>
        <w:rPr>
          <w:b/>
        </w:rPr>
        <w:t>What are the biggest regulatory risks?</w:t>
      </w:r>
    </w:p>
    <w:p>
      <w:r>
        <w:t>Bursa/IDX disclosure discipline, OJK approvals, MAS technology resilience and BNM conduct expectations.</w:t>
      </w:r>
    </w:p>
    <w:p>
      <w:pPr>
        <w:pStyle w:val="ListNumber"/>
      </w:pPr>
      <w:r>
        <w:rPr>
          <w:b/>
        </w:rPr>
        <w:t>Can Consumer compete with regional platforms?</w:t>
      </w:r>
    </w:p>
    <w:p>
      <w:r>
        <w:t>Zava is focused on profitable categories, fulfilment reliability and data partnerships rather than subsidy-led scale.</w:t>
      </w:r>
    </w:p>
    <w:p>
      <w:pPr>
        <w:pStyle w:val="ListNumber"/>
      </w:pPr>
      <w:r>
        <w:rPr>
          <w:b/>
        </w:rPr>
        <w:t>What happens if MYR/IDR weakens materially?</w:t>
      </w:r>
    </w:p>
    <w:p>
      <w:r>
        <w:t>Hedging covers committed exposures; pricing and procurement levers are prepared by division.</w:t>
      </w:r>
    </w:p>
    <w:p>
      <w:pPr>
        <w:pStyle w:val="ListNumber"/>
      </w:pPr>
      <w:r>
        <w:rPr>
          <w:b/>
        </w:rPr>
        <w:t>What would make management pause buybacks or dividends?</w:t>
      </w:r>
    </w:p>
    <w:p>
      <w:r>
        <w:t>If strategic gates clear with superior returns, reinvestment takes priority while preserving balance sheet strength.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