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Internal Audit — Auditee Walkthrough Pack</w:t>
      </w:r>
    </w:p>
    <w:p>
      <w:pPr>
        <w:pStyle w:val="Heading1"/>
      </w:pPr>
      <w:r>
        <w:t>Internal Audit — Auditee Walkthrough Pack</w:t>
      </w:r>
    </w:p>
    <w:p>
      <w:r>
        <w:t>Owner: Group Internal Audit (Daichi Maruyama)  •  Cycle: FY2026 Q2 thematic — Vendor lifecycle and access management</w:t>
      </w:r>
    </w:p>
    <w:p>
      <w:pPr>
        <w:pStyle w:val="Heading2"/>
      </w:pPr>
      <w:r>
        <w:t>1. Purpose and scope</w:t>
      </w:r>
    </w:p>
    <w:p>
      <w:r>
        <w:t>This walkthrough pack supports the FY2026 Q2 thematic audit on vendor lifecycle, contracting controls, and privileged-access management. It is the standard primer issued to first-line and second-line auditees ahead of fieldwork.</w:t>
      </w:r>
    </w:p>
    <w:p>
      <w:pPr>
        <w:pStyle w:val="Heading2"/>
      </w:pPr>
      <w:r>
        <w:t>2. Scope boundaries</w:t>
      </w:r>
    </w:p>
    <w:p>
      <w:pPr>
        <w:pStyle w:val="ListBullet"/>
      </w:pPr>
      <w:r>
        <w:t>In scope: Group Procurement, IT Operations, Information Security, Vendor Risk, three business-unit finance teams.</w:t>
      </w:r>
    </w:p>
    <w:p>
      <w:pPr>
        <w:pStyle w:val="ListBullet"/>
      </w:pPr>
      <w:r>
        <w:t>In scope: vendors onboarded between 2024-01-01 and 2026-03-31.</w:t>
      </w:r>
    </w:p>
    <w:p>
      <w:pPr>
        <w:pStyle w:val="ListBullet"/>
      </w:pPr>
      <w:r>
        <w:t>Out of scope: pure consumables (sub USD 5,000) and intra-group transactions.</w:t>
      </w:r>
    </w:p>
    <w:p>
      <w:pPr>
        <w:pStyle w:val="ListBullet"/>
      </w:pPr>
      <w:r>
        <w:t>Out of scope: SAP and Workday access (covered by the Q4 platform audit).</w:t>
      </w:r>
    </w:p>
    <w:p>
      <w:pPr>
        <w:pStyle w:val="Heading2"/>
      </w:pPr>
      <w:r>
        <w:t>3. Walkthrough flow</w:t>
      </w:r>
    </w:p>
    <w:p>
      <w:pPr>
        <w:pStyle w:val="ListNumber"/>
      </w:pPr>
      <w:r>
        <w:t>Process owner briefs Internal Audit on end-to-end vendor lifecycle.</w:t>
      </w:r>
    </w:p>
    <w:p>
      <w:pPr>
        <w:pStyle w:val="ListNumber"/>
      </w:pPr>
      <w:r>
        <w:t>Sample of 12 vendor onboardings reviewed live with the system in screen-share.</w:t>
      </w:r>
    </w:p>
    <w:p>
      <w:pPr>
        <w:pStyle w:val="ListNumber"/>
      </w:pPr>
      <w:r>
        <w:t>Joiner-mover-leaver (JML) flow walked through for the three impacted platforms.</w:t>
      </w:r>
    </w:p>
    <w:p>
      <w:pPr>
        <w:pStyle w:val="ListNumber"/>
      </w:pPr>
      <w:r>
        <w:t>Exception logs (rejected onboardings, revoked accesses) reviewed.</w:t>
      </w:r>
    </w:p>
    <w:p>
      <w:pPr>
        <w:pStyle w:val="ListNumber"/>
      </w:pPr>
      <w:r>
        <w:t>Open issues from the prior audit cycle (FY2025 Q3) revisited.</w:t>
      </w:r>
    </w:p>
    <w:p>
      <w:pPr>
        <w:pStyle w:val="Heading2"/>
      </w:pPr>
      <w:r>
        <w:t>4. Documentation requested</w:t>
      </w:r>
    </w:p>
    <w:p>
      <w:pPr>
        <w:pStyle w:val="ListBullet"/>
      </w:pPr>
      <w:r>
        <w:t>Standard operating procedures (current version + change log for past 24 months).</w:t>
      </w:r>
    </w:p>
    <w:p>
      <w:pPr>
        <w:pStyle w:val="ListBullet"/>
      </w:pPr>
      <w:r>
        <w:t>Vendor master extract with onboarding date, risk tier, status, and last review date.</w:t>
      </w:r>
    </w:p>
    <w:p>
      <w:pPr>
        <w:pStyle w:val="ListBullet"/>
      </w:pPr>
      <w:r>
        <w:t>Privileged-access role catalogue and approval workflow screenshots.</w:t>
      </w:r>
    </w:p>
    <w:p>
      <w:pPr>
        <w:pStyle w:val="ListBullet"/>
      </w:pPr>
      <w:r>
        <w:t>Recent control self-assessment results.</w:t>
      </w:r>
    </w:p>
    <w:p>
      <w:pPr>
        <w:pStyle w:val="ListBullet"/>
      </w:pPr>
      <w:r>
        <w:t>Issue register (open and closed in the last 12 months).</w:t>
      </w:r>
    </w:p>
    <w:p>
      <w:pPr>
        <w:pStyle w:val="Heading2"/>
      </w:pPr>
      <w:r>
        <w:t>5. Auditee responsibilities</w:t>
      </w:r>
    </w:p>
    <w:p>
      <w:r>
        <w:t>Nominate a single point of contact; provide read-only audit access to the relevant systems within 5 business days of fieldwork start; flag any document requests that conflict with confidentiality undertakings so that Internal Audit can co-design an alternative evidence path.</w:t>
      </w:r>
    </w:p>
    <w:p>
      <w:pPr>
        <w:pStyle w:val="Heading2"/>
      </w:pPr>
      <w:r>
        <w:t>6. Communication protocol</w:t>
      </w:r>
    </w:p>
    <w:p>
      <w:pPr>
        <w:pStyle w:val="ListBullet"/>
      </w:pPr>
      <w:r>
        <w:t>Daily 20-minute stand-up during fieldwork weeks (Tuesday and Thursday at 09:00).</w:t>
      </w:r>
    </w:p>
    <w:p>
      <w:pPr>
        <w:pStyle w:val="ListBullet"/>
      </w:pPr>
      <w:r>
        <w:t>Issues raised in writing within 48 hours of identification.</w:t>
      </w:r>
    </w:p>
    <w:p>
      <w:pPr>
        <w:pStyle w:val="ListBullet"/>
      </w:pPr>
      <w:r>
        <w:t>Auditee given 5 business days to respond to draft findings before reporting.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