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Group Human Resources — Strategic Priorities to 2030</w:t>
      </w:r>
    </w:p>
    <w:p>
      <w:pPr>
        <w:pStyle w:val="Heading1"/>
      </w:pPr>
      <w:r>
        <w:t>Group Human Resources — Strategic Priorities to 2030</w:t>
      </w:r>
    </w:p>
    <w:p>
      <w:r>
        <w:t>Owner: Group Chief Human Resources Office (Sasha Ouellet)  •  Status: Endorsed by Group ExCo 2026-03-14</w:t>
      </w:r>
    </w:p>
    <w:p>
      <w:pPr>
        <w:pStyle w:val="Heading2"/>
      </w:pPr>
      <w:r>
        <w:t>1. Context</w:t>
      </w:r>
    </w:p>
    <w:p>
      <w:r>
        <w:t>Zava Conglomerate is on a five-year transformation arc to FY2030. The workforce that ran the FY2020–FY2025 cycle (heavy on transactional roles, regional silos, manual data work) is not the workforce that will deliver the FY2025–FY2030 strategy (digital-first operations, AI-augmented decision-making, regulated-product growth in financial services, downstream specialty-chemicals expansion). This document sets the HR strategic priorities to bridge that gap.</w:t>
      </w:r>
    </w:p>
    <w:p>
      <w:pPr>
        <w:pStyle w:val="Heading2"/>
      </w:pPr>
      <w:r>
        <w:t>2. Five strategic priorities</w:t>
      </w:r>
    </w:p>
    <w:p>
      <w:pPr>
        <w:pStyle w:val="ListNumber"/>
      </w:pPr>
      <w:r>
        <w:t>Critical-skill build-out — data, AI, financial-services regulation, downstream-specialty engineering, ESG assurance.</w:t>
      </w:r>
    </w:p>
    <w:p>
      <w:pPr>
        <w:pStyle w:val="ListNumber"/>
      </w:pPr>
      <w:r>
        <w:t>Leadership pipeline depth — every Group-level role 2-deep within 24 months.</w:t>
      </w:r>
    </w:p>
    <w:p>
      <w:pPr>
        <w:pStyle w:val="ListNumber"/>
      </w:pPr>
      <w:r>
        <w:t>Culture shift — from compliance-and-control to outcomes-and-ownership.</w:t>
      </w:r>
    </w:p>
    <w:p>
      <w:pPr>
        <w:pStyle w:val="ListNumber"/>
      </w:pPr>
      <w:r>
        <w:t>Workforce mix — reduce contractor reliance in mission-critical roles to under 20%.</w:t>
      </w:r>
    </w:p>
    <w:p>
      <w:pPr>
        <w:pStyle w:val="ListNumber"/>
      </w:pPr>
      <w:r>
        <w:t>Geographic redistribution — grow Centralia and Vietnam hubs; rebalance Metro headcount.</w:t>
      </w:r>
    </w:p>
    <w:p>
      <w:pPr>
        <w:pStyle w:val="Heading2"/>
      </w:pPr>
      <w:r>
        <w:t>3. Headcount envelope</w:t>
      </w:r>
    </w:p>
    <w:p>
      <w:r>
        <w:t>FY2026 envelope is 8,420 FTE (-2% vs FY2025). The reduction is concentrated in administrative back-office, with selective net growth in regulated financial services (+120 FTE) and downstream specialty (+85 FTE). All movements pass through the Group HR Capacity Council.</w:t>
      </w:r>
    </w:p>
    <w:p>
      <w:pPr>
        <w:pStyle w:val="Heading2"/>
      </w:pPr>
      <w:r>
        <w:t>4. Operating principles</w:t>
      </w:r>
    </w:p>
    <w:p>
      <w:pPr>
        <w:pStyle w:val="ListBullet"/>
      </w:pPr>
      <w:r>
        <w:t>Buy-borrow-build — default to building internal capability; borrow only where speed-to-market demands it.</w:t>
      </w:r>
    </w:p>
    <w:p>
      <w:pPr>
        <w:pStyle w:val="ListBullet"/>
      </w:pPr>
      <w:r>
        <w:t>Internal-first hiring for any role above grade M3.</w:t>
      </w:r>
    </w:p>
    <w:p>
      <w:pPr>
        <w:pStyle w:val="ListBullet"/>
      </w:pPr>
      <w:r>
        <w:t>Mobility — minimum 8% of grade M2+ population should rotate per year.</w:t>
      </w:r>
    </w:p>
    <w:p>
      <w:pPr>
        <w:pStyle w:val="ListBullet"/>
      </w:pPr>
      <w:r>
        <w:t>Pay-for-skill, not pay-for-tenure — annual market calibration on the priority skills.</w:t>
      </w:r>
    </w:p>
    <w:p>
      <w:pPr>
        <w:pStyle w:val="Heading2"/>
      </w:pPr>
      <w:r>
        <w:t>5. Measurement</w:t>
      </w:r>
    </w:p>
    <w:p>
      <w:pPr>
        <w:pStyle w:val="ListBullet"/>
      </w:pPr>
      <w:r>
        <w:t>Critical-skill coverage ratio (target ≥ 0.95 by FY2028).</w:t>
      </w:r>
    </w:p>
    <w:p>
      <w:pPr>
        <w:pStyle w:val="ListBullet"/>
      </w:pPr>
      <w:r>
        <w:t>Voluntary attrition in regretted-loss population (target &lt; 6% rolling 12 months).</w:t>
      </w:r>
    </w:p>
    <w:p>
      <w:pPr>
        <w:pStyle w:val="ListBullet"/>
      </w:pPr>
      <w:r>
        <w:t>Internal-fill rate for grade M3+ roles (target ≥ 65%).</w:t>
      </w:r>
    </w:p>
    <w:p>
      <w:pPr>
        <w:pStyle w:val="ListBullet"/>
      </w:pPr>
      <w:r>
        <w:t>Engagement composite score (target ≥ 78).</w:t>
      </w:r>
    </w:p>
    <w:p>
      <w:pPr>
        <w:pStyle w:val="ListBullet"/>
      </w:pPr>
      <w:r>
        <w:t>Diversity-of-talent metrics (gender, age, nationality) at every promotion review.</w:t>
      </w:r>
    </w:p>
    <w:p>
      <w:pPr>
        <w:pStyle w:val="Heading2"/>
      </w:pPr>
      <w:r>
        <w:t>6. Risks</w:t>
      </w:r>
    </w:p>
    <w:p>
      <w:r>
        <w:t>Wage inflation in priority skills, regulatory uncertainty in financial services, attrition of high-performers to fintechs and regional competitors, and execution risk on the contractor-conversion programme. Each risk owned and reported quarterly.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