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Investor Education — Bilingual Content Library Index</w:t>
      </w:r>
    </w:p>
    <w:p>
      <w:pPr>
        <w:pStyle w:val="Heading1"/>
      </w:pPr>
      <w:r>
        <w:t>Investor Education — Bilingual Content Library Index</w:t>
      </w:r>
    </w:p>
    <w:p>
      <w:r>
        <w:t>Owner: Group Investor Education (Mod Admin)  •  Languages covered: English + Bahasa Malaysia + Bahasa Indonesia</w:t>
      </w:r>
    </w:p>
    <w:p>
      <w:pPr>
        <w:pStyle w:val="Heading2"/>
      </w:pPr>
      <w:r>
        <w:t>1. Purpose</w:t>
      </w:r>
    </w:p>
    <w:p>
      <w:r>
        <w:t>This index lists every approved investor-education asset across the group, the audience it targets, the language variants available, the last review date, and the assigned subject-matter expert. It is the source of truth used by the Marketing, Compliance, and Investor Relations teams when planning campaigns.</w:t>
      </w:r>
    </w:p>
    <w:p>
      <w:pPr>
        <w:pStyle w:val="Heading2"/>
      </w:pPr>
      <w:r>
        <w:t>2. Content pillars</w:t>
      </w:r>
    </w:p>
    <w:p>
      <w:pPr>
        <w:pStyle w:val="ListNumber"/>
      </w:pPr>
      <w:r>
        <w:t>Investor protection basics (recognising scams, verifying licences, due diligence).</w:t>
      </w:r>
    </w:p>
    <w:p>
      <w:pPr>
        <w:pStyle w:val="ListNumber"/>
      </w:pPr>
      <w:r>
        <w:t>Public markets literacy (how an IPO works, secondary trading, dividends, rights issues).</w:t>
      </w:r>
    </w:p>
    <w:p>
      <w:pPr>
        <w:pStyle w:val="ListNumber"/>
      </w:pPr>
      <w:r>
        <w:t>Private markets literacy (PE, VC, private credit, single family offices).</w:t>
      </w:r>
    </w:p>
    <w:p>
      <w:pPr>
        <w:pStyle w:val="ListNumber"/>
      </w:pPr>
      <w:r>
        <w:t>Sustainable and responsible investing (ESG ratings, green sukuk, climate-aligned funds).</w:t>
      </w:r>
    </w:p>
    <w:p>
      <w:pPr>
        <w:pStyle w:val="ListNumber"/>
      </w:pPr>
      <w:r>
        <w:t>Personal finance hygiene (budgeting, emergency funds, retirement planning).</w:t>
      </w:r>
    </w:p>
    <w:p>
      <w:pPr>
        <w:pStyle w:val="Heading2"/>
      </w:pPr>
      <w:r>
        <w:t>3. Format inventory</w:t>
      </w:r>
    </w:p>
    <w:p>
      <w:pPr>
        <w:pStyle w:val="ListBullet"/>
      </w:pPr>
      <w:r>
        <w:t>Long-form explainers (PDF, ~12 pages each).</w:t>
      </w:r>
    </w:p>
    <w:p>
      <w:pPr>
        <w:pStyle w:val="ListBullet"/>
      </w:pPr>
      <w:r>
        <w:t>Short-form social cards (Instagram + TikTok + LinkedIn versions).</w:t>
      </w:r>
    </w:p>
    <w:p>
      <w:pPr>
        <w:pStyle w:val="ListBullet"/>
      </w:pPr>
      <w:r>
        <w:t>Video shorts (60–90 seconds, captioned).</w:t>
      </w:r>
    </w:p>
    <w:p>
      <w:pPr>
        <w:pStyle w:val="ListBullet"/>
      </w:pPr>
      <w:r>
        <w:t>Webinar replays with timestamped chapters.</w:t>
      </w:r>
    </w:p>
    <w:p>
      <w:pPr>
        <w:pStyle w:val="ListBullet"/>
      </w:pPr>
      <w:r>
        <w:t>Print-ready posters for partner branch lobbies.</w:t>
      </w:r>
    </w:p>
    <w:p>
      <w:pPr>
        <w:pStyle w:val="Heading2"/>
      </w:pPr>
      <w:r>
        <w:t>4. Sample asset map (excerpt)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Asset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Languages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SME owner</w:t>
            </w:r>
          </w:p>
        </w:tc>
      </w:tr>
      <w:tr>
        <w:tc>
          <w:tcPr>
            <w:tcW w:type="dxa" w:w="1728"/>
          </w:tcPr>
          <w:p>
            <w:r>
              <w:t>IE-001</w:t>
            </w:r>
          </w:p>
        </w:tc>
        <w:tc>
          <w:tcPr>
            <w:tcW w:type="dxa" w:w="1728"/>
          </w:tcPr>
          <w:p>
            <w:r>
              <w:t>How to verify an investment licence</w:t>
            </w:r>
          </w:p>
        </w:tc>
        <w:tc>
          <w:tcPr>
            <w:tcW w:type="dxa" w:w="1728"/>
          </w:tcPr>
          <w:p>
            <w:r>
              <w:t>PDF + 3 social cards</w:t>
            </w:r>
          </w:p>
        </w:tc>
        <w:tc>
          <w:tcPr>
            <w:tcW w:type="dxa" w:w="1728"/>
          </w:tcPr>
          <w:p>
            <w:r>
              <w:t>EN / BM / ID</w:t>
            </w:r>
          </w:p>
        </w:tc>
        <w:tc>
          <w:tcPr>
            <w:tcW w:type="dxa" w:w="1728"/>
          </w:tcPr>
          <w:p>
            <w:r>
              <w:t>Compliance</w:t>
            </w:r>
          </w:p>
        </w:tc>
      </w:tr>
      <w:tr>
        <w:tc>
          <w:tcPr>
            <w:tcW w:type="dxa" w:w="1728"/>
          </w:tcPr>
          <w:p>
            <w:r>
              <w:t>IE-014</w:t>
            </w:r>
          </w:p>
        </w:tc>
        <w:tc>
          <w:tcPr>
            <w:tcW w:type="dxa" w:w="1728"/>
          </w:tcPr>
          <w:p>
            <w:r>
              <w:t>What is an IPO?</w:t>
            </w:r>
          </w:p>
        </w:tc>
        <w:tc>
          <w:tcPr>
            <w:tcW w:type="dxa" w:w="1728"/>
          </w:tcPr>
          <w:p>
            <w:r>
              <w:t>Video short + explainer PDF</w:t>
            </w:r>
          </w:p>
        </w:tc>
        <w:tc>
          <w:tcPr>
            <w:tcW w:type="dxa" w:w="1728"/>
          </w:tcPr>
          <w:p>
            <w:r>
              <w:t>EN / BM / ID</w:t>
            </w:r>
          </w:p>
        </w:tc>
        <w:tc>
          <w:tcPr>
            <w:tcW w:type="dxa" w:w="1728"/>
          </w:tcPr>
          <w:p>
            <w:r>
              <w:t>Capital Markets</w:t>
            </w:r>
          </w:p>
        </w:tc>
      </w:tr>
      <w:tr>
        <w:tc>
          <w:tcPr>
            <w:tcW w:type="dxa" w:w="1728"/>
          </w:tcPr>
          <w:p>
            <w:r>
              <w:t>IE-027</w:t>
            </w:r>
          </w:p>
        </w:tc>
        <w:tc>
          <w:tcPr>
            <w:tcW w:type="dxa" w:w="1728"/>
          </w:tcPr>
          <w:p>
            <w:r>
              <w:t>Private credit basics for HNWIs</w:t>
            </w:r>
          </w:p>
        </w:tc>
        <w:tc>
          <w:tcPr>
            <w:tcW w:type="dxa" w:w="1728"/>
          </w:tcPr>
          <w:p>
            <w:r>
              <w:t>Webinar + slide pack</w:t>
            </w:r>
          </w:p>
        </w:tc>
        <w:tc>
          <w:tcPr>
            <w:tcW w:type="dxa" w:w="1728"/>
          </w:tcPr>
          <w:p>
            <w:r>
              <w:t>EN / BM</w:t>
            </w:r>
          </w:p>
        </w:tc>
        <w:tc>
          <w:tcPr>
            <w:tcW w:type="dxa" w:w="1728"/>
          </w:tcPr>
          <w:p>
            <w:r>
              <w:t>Wealth</w:t>
            </w:r>
          </w:p>
        </w:tc>
      </w:tr>
      <w:tr>
        <w:tc>
          <w:tcPr>
            <w:tcW w:type="dxa" w:w="1728"/>
          </w:tcPr>
          <w:p>
            <w:r>
              <w:t>IE-035</w:t>
            </w:r>
          </w:p>
        </w:tc>
        <w:tc>
          <w:tcPr>
            <w:tcW w:type="dxa" w:w="1728"/>
          </w:tcPr>
          <w:p>
            <w:r>
              <w:t>Green sukuk explained</w:t>
            </w:r>
          </w:p>
        </w:tc>
        <w:tc>
          <w:tcPr>
            <w:tcW w:type="dxa" w:w="1728"/>
          </w:tcPr>
          <w:p>
            <w:r>
              <w:t>Long-form PDF</w:t>
            </w:r>
          </w:p>
        </w:tc>
        <w:tc>
          <w:tcPr>
            <w:tcW w:type="dxa" w:w="1728"/>
          </w:tcPr>
          <w:p>
            <w:r>
              <w:t>EN / BM / ID</w:t>
            </w:r>
          </w:p>
        </w:tc>
        <w:tc>
          <w:tcPr>
            <w:tcW w:type="dxa" w:w="1728"/>
          </w:tcPr>
          <w:p>
            <w:r>
              <w:t>ESG</w:t>
            </w:r>
          </w:p>
        </w:tc>
      </w:tr>
      <w:tr>
        <w:tc>
          <w:tcPr>
            <w:tcW w:type="dxa" w:w="1728"/>
          </w:tcPr>
          <w:p>
            <w:r>
              <w:t>IE-049</w:t>
            </w:r>
          </w:p>
        </w:tc>
        <w:tc>
          <w:tcPr>
            <w:tcW w:type="dxa" w:w="1728"/>
          </w:tcPr>
          <w:p>
            <w:r>
              <w:t>Spotting Telegram investment scams</w:t>
            </w:r>
          </w:p>
        </w:tc>
        <w:tc>
          <w:tcPr>
            <w:tcW w:type="dxa" w:w="1728"/>
          </w:tcPr>
          <w:p>
            <w:r>
              <w:t>3 social cards + 1 video</w:t>
            </w:r>
          </w:p>
        </w:tc>
        <w:tc>
          <w:tcPr>
            <w:tcW w:type="dxa" w:w="1728"/>
          </w:tcPr>
          <w:p>
            <w:r>
              <w:t>EN / BM / ID</w:t>
            </w:r>
          </w:p>
        </w:tc>
        <w:tc>
          <w:tcPr>
            <w:tcW w:type="dxa" w:w="1728"/>
          </w:tcPr>
          <w:p>
            <w:r>
              <w:t>Enforcement</w:t>
            </w:r>
          </w:p>
        </w:tc>
      </w:tr>
    </w:tbl>
    <w:p>
      <w:pPr>
        <w:pStyle w:val="Heading2"/>
      </w:pPr>
      <w:r>
        <w:t>5. Governance</w:t>
      </w:r>
    </w:p>
    <w:p>
      <w:r>
        <w:t>Every asset reviewed annually by the assigned SME and the Compliance counter-signatory. Assets older than 24 months without review are auto-archived and removed from the library.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