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Group Legal — Standard Terms Schedule (Vendor Contracts)</w:t>
      </w:r>
    </w:p>
    <w:p>
      <w:pPr>
        <w:pStyle w:val="Heading1"/>
      </w:pPr>
      <w:r>
        <w:t>Group Legal — Standard Terms Schedule (Vendor Contracts)</w:t>
      </w:r>
    </w:p>
    <w:p>
      <w:r>
        <w:t>Owner: Group Legal (Hadar Caspit, Group GC)  •  Version: 4.2  •  Last reviewed: 2026-02-10</w:t>
      </w:r>
    </w:p>
    <w:p>
      <w:pPr>
        <w:pStyle w:val="Heading2"/>
      </w:pPr>
      <w:r>
        <w:t>1. Purpose</w:t>
      </w:r>
    </w:p>
    <w:p>
      <w:r>
        <w:t>This schedule consolidates Zava Conglomerate's standard vendor-contract terms. It is mandatory for any contract above USD 250,000 annual value or any contract that touches personal data, regulated services, or safety-critical operations.</w:t>
      </w:r>
    </w:p>
    <w:p>
      <w:pPr>
        <w:pStyle w:val="Heading2"/>
      </w:pPr>
      <w:r>
        <w:t>2. Term and termination</w:t>
      </w:r>
    </w:p>
    <w:p>
      <w:pPr>
        <w:pStyle w:val="ListBullet"/>
      </w:pPr>
      <w:r>
        <w:t>Default term: 24 months with two 12-month extension options exercisable by Zava only.</w:t>
      </w:r>
    </w:p>
    <w:p>
      <w:pPr>
        <w:pStyle w:val="ListBullet"/>
      </w:pPr>
      <w:r>
        <w:t>Termination for convenience: 60 days' notice.</w:t>
      </w:r>
    </w:p>
    <w:p>
      <w:pPr>
        <w:pStyle w:val="ListBullet"/>
      </w:pPr>
      <w:r>
        <w:t>Termination for cause: 30 days' cure period, then immediate.</w:t>
      </w:r>
    </w:p>
    <w:p>
      <w:pPr>
        <w:pStyle w:val="ListBullet"/>
      </w:pPr>
      <w:r>
        <w:t>Termination for insolvency: immediate, on written notice.</w:t>
      </w:r>
    </w:p>
    <w:p>
      <w:pPr>
        <w:pStyle w:val="ListBullet"/>
      </w:pPr>
      <w:r>
        <w:t>Post-termination transition assistance: up to 6 months at then-current rates.</w:t>
      </w:r>
    </w:p>
    <w:p>
      <w:pPr>
        <w:pStyle w:val="Heading2"/>
      </w:pPr>
      <w:r>
        <w:t>3. Pricing and payment</w:t>
      </w:r>
    </w:p>
    <w:p>
      <w:pPr>
        <w:pStyle w:val="ListBullet"/>
      </w:pPr>
      <w:r>
        <w:t>All pricing fixed in USD or local currency at Zava's election.</w:t>
      </w:r>
    </w:p>
    <w:p>
      <w:pPr>
        <w:pStyle w:val="ListBullet"/>
      </w:pPr>
      <w:r>
        <w:t>Annual price adjustments capped at the lower of CPI or 4%.</w:t>
      </w:r>
    </w:p>
    <w:p>
      <w:pPr>
        <w:pStyle w:val="ListBullet"/>
      </w:pPr>
      <w:r>
        <w:t>Standard payment terms: 60 days from valid invoice receipt.</w:t>
      </w:r>
    </w:p>
    <w:p>
      <w:pPr>
        <w:pStyle w:val="ListBullet"/>
      </w:pPr>
      <w:r>
        <w:t>Volume rebates documented in the commercial schedule.</w:t>
      </w:r>
    </w:p>
    <w:p>
      <w:pPr>
        <w:pStyle w:val="Heading2"/>
      </w:pPr>
      <w:r>
        <w:t>4. Liability</w:t>
      </w:r>
    </w:p>
    <w:p>
      <w:r>
        <w:t>Total aggregate liability capped at the greater of (a) 200% of fees paid in the 12 months preceding the claim or (b) the value of the master order form. Unlimited liability for breach of confidentiality, IP infringement, data protection, fraud, and personal injury.</w:t>
      </w:r>
    </w:p>
    <w:p>
      <w:pPr>
        <w:pStyle w:val="Heading2"/>
      </w:pPr>
      <w:r>
        <w:t>5. Data protection and information security</w:t>
      </w:r>
    </w:p>
    <w:p>
      <w:pPr>
        <w:pStyle w:val="ListBullet"/>
      </w:pPr>
      <w:r>
        <w:t>Compliance with Zava's Information Security Schedule (Annex A).</w:t>
      </w:r>
    </w:p>
    <w:p>
      <w:pPr>
        <w:pStyle w:val="ListBullet"/>
      </w:pPr>
      <w:r>
        <w:t>Sub-processor approval required in writing.</w:t>
      </w:r>
    </w:p>
    <w:p>
      <w:pPr>
        <w:pStyle w:val="ListBullet"/>
      </w:pPr>
      <w:r>
        <w:t>Data-breach notification within 24 hours.</w:t>
      </w:r>
    </w:p>
    <w:p>
      <w:pPr>
        <w:pStyle w:val="ListBullet"/>
      </w:pPr>
      <w:r>
        <w:t>Right to audit on 10 business days' notice.</w:t>
      </w:r>
    </w:p>
    <w:p>
      <w:pPr>
        <w:pStyle w:val="ListBullet"/>
      </w:pPr>
      <w:r>
        <w:t>Return or certified destruction of data on termination.</w:t>
      </w:r>
    </w:p>
    <w:p>
      <w:pPr>
        <w:pStyle w:val="Heading2"/>
      </w:pPr>
      <w:r>
        <w:t>6. Boilerplate</w:t>
      </w:r>
    </w:p>
    <w:p>
      <w:r>
        <w:t>Confidentiality 5 years post-termination. IP — Zava-developed materials remain Zava's; vendor pre-existing IP licensed back. Anti-bribery and sanctions warranties. Governing law: Centralia, ASEAN. Dispute resolution: arbitration under the Centralia International Arbitration Centre rules, seat Centralia, English language, 3-arbitrator panel for disputes above USD 5 million.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