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Vendor Contract Draft — Apex Specialty Services (Procurement Lot 14)</w:t>
      </w:r>
    </w:p>
    <w:p>
      <w:pPr>
        <w:pStyle w:val="Heading1"/>
      </w:pPr>
      <w:r>
        <w:t>Vendor Contract Draft — Apex Specialty Services (Procurement Lot 14)</w:t>
      </w:r>
    </w:p>
    <w:p>
      <w:r>
        <w:t>Counterparty: Apex Specialty Services Sdn Bhd  •  Lot: Centralia Site Industrial Cleaning  •  Annual value: USD 1.62 million  •  Drafted by: Procurement &amp; Legal — review cycle 3</w:t>
      </w:r>
    </w:p>
    <w:p>
      <w:pPr>
        <w:pStyle w:val="Heading2"/>
      </w:pPr>
      <w:r>
        <w:t>1. Background</w:t>
      </w:r>
    </w:p>
    <w:p>
      <w:r>
        <w:t>Apex Specialty Services (Apex) will provide industrial cleaning, hazardous-waste handling preparation, and confined-space cleaning services at the Centralia downstream complex for a 24-month term. This draft is the third revision after counterparty mark-up.</w:t>
      </w:r>
    </w:p>
    <w:p>
      <w:pPr>
        <w:pStyle w:val="Heading2"/>
      </w:pPr>
      <w:r>
        <w:t>2. Scope of services</w:t>
      </w:r>
    </w:p>
    <w:p>
      <w:pPr>
        <w:pStyle w:val="ListBullet"/>
      </w:pPr>
      <w:r>
        <w:t>Routine industrial cleaning (daily and shift-based).</w:t>
      </w:r>
    </w:p>
    <w:p>
      <w:pPr>
        <w:pStyle w:val="ListBullet"/>
      </w:pPr>
      <w:r>
        <w:t>Hazardous-waste preparation for collection by the licensed waste contractor.</w:t>
      </w:r>
    </w:p>
    <w:p>
      <w:pPr>
        <w:pStyle w:val="ListBullet"/>
      </w:pPr>
      <w:r>
        <w:t>Confined-space cleaning per the site permit-to-work system.</w:t>
      </w:r>
    </w:p>
    <w:p>
      <w:pPr>
        <w:pStyle w:val="ListBullet"/>
      </w:pPr>
      <w:r>
        <w:t>Emergency-response cleaning (24/7 callout).</w:t>
      </w:r>
    </w:p>
    <w:p>
      <w:pPr>
        <w:pStyle w:val="ListBullet"/>
      </w:pPr>
      <w:r>
        <w:t>Provision of trained, certified, and equipped personnel.</w:t>
      </w:r>
    </w:p>
    <w:p>
      <w:pPr>
        <w:pStyle w:val="Heading2"/>
      </w:pPr>
      <w:r>
        <w:t>3. Negotiation status (cross-reference to clause library)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Clause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Zava standard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counter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Liability cap</w:t>
            </w:r>
          </w:p>
        </w:tc>
        <w:tc>
          <w:tcPr>
            <w:tcW w:type="dxa" w:w="2160"/>
          </w:tcPr>
          <w:p>
            <w:r>
              <w:t>200% of fees / unlimited carve-outs</w:t>
            </w:r>
          </w:p>
        </w:tc>
        <w:tc>
          <w:tcPr>
            <w:tcW w:type="dxa" w:w="2160"/>
          </w:tcPr>
          <w:p>
            <w:r>
              <w:t>100% of fees / fewer carve-outs</w:t>
            </w:r>
          </w:p>
        </w:tc>
        <w:tc>
          <w:tcPr>
            <w:tcW w:type="dxa" w:w="2160"/>
          </w:tcPr>
          <w:p>
            <w:r>
              <w:t>Open — Legal escalation</w:t>
            </w:r>
          </w:p>
        </w:tc>
      </w:tr>
      <w:tr>
        <w:tc>
          <w:tcPr>
            <w:tcW w:type="dxa" w:w="2160"/>
          </w:tcPr>
          <w:p>
            <w:r>
              <w:t>Indemnity scope</w:t>
            </w:r>
          </w:p>
        </w:tc>
        <w:tc>
          <w:tcPr>
            <w:tcW w:type="dxa" w:w="2160"/>
          </w:tcPr>
          <w:p>
            <w:r>
              <w:t>Broad</w:t>
            </w:r>
          </w:p>
        </w:tc>
        <w:tc>
          <w:tcPr>
            <w:tcW w:type="dxa" w:w="2160"/>
          </w:tcPr>
          <w:p>
            <w:r>
              <w:t>Mutual and narrowed</w:t>
            </w:r>
          </w:p>
        </w:tc>
        <w:tc>
          <w:tcPr>
            <w:tcW w:type="dxa" w:w="2160"/>
          </w:tcPr>
          <w:p>
            <w:r>
              <w:t>Open</w:t>
            </w:r>
          </w:p>
        </w:tc>
      </w:tr>
      <w:tr>
        <w:tc>
          <w:tcPr>
            <w:tcW w:type="dxa" w:w="2160"/>
          </w:tcPr>
          <w:p>
            <w:r>
              <w:t>Payment terms</w:t>
            </w:r>
          </w:p>
        </w:tc>
        <w:tc>
          <w:tcPr>
            <w:tcW w:type="dxa" w:w="2160"/>
          </w:tcPr>
          <w:p>
            <w:r>
              <w:t>60 days</w:t>
            </w:r>
          </w:p>
        </w:tc>
        <w:tc>
          <w:tcPr>
            <w:tcW w:type="dxa" w:w="2160"/>
          </w:tcPr>
          <w:p>
            <w:r>
              <w:t>30 days</w:t>
            </w:r>
          </w:p>
        </w:tc>
        <w:tc>
          <w:tcPr>
            <w:tcW w:type="dxa" w:w="2160"/>
          </w:tcPr>
          <w:p>
            <w:r>
              <w:t>Open — Finance escalation</w:t>
            </w:r>
          </w:p>
        </w:tc>
      </w:tr>
      <w:tr>
        <w:tc>
          <w:tcPr>
            <w:tcW w:type="dxa" w:w="2160"/>
          </w:tcPr>
          <w:p>
            <w:r>
              <w:t>Audit rights</w:t>
            </w:r>
          </w:p>
        </w:tc>
        <w:tc>
          <w:tcPr>
            <w:tcW w:type="dxa" w:w="2160"/>
          </w:tcPr>
          <w:p>
            <w:r>
              <w:t>10 business days' notice</w:t>
            </w:r>
          </w:p>
        </w:tc>
        <w:tc>
          <w:tcPr>
            <w:tcW w:type="dxa" w:w="2160"/>
          </w:tcPr>
          <w:p>
            <w:r>
              <w:t>20 business days' notice</w:t>
            </w:r>
          </w:p>
        </w:tc>
        <w:tc>
          <w:tcPr>
            <w:tcW w:type="dxa" w:w="2160"/>
          </w:tcPr>
          <w:p>
            <w:r>
              <w:t>Compromise: 15 days</w:t>
            </w:r>
          </w:p>
        </w:tc>
      </w:tr>
      <w:tr>
        <w:tc>
          <w:tcPr>
            <w:tcW w:type="dxa" w:w="2160"/>
          </w:tcPr>
          <w:p>
            <w:r>
              <w:t>Termination for convenience</w:t>
            </w:r>
          </w:p>
        </w:tc>
        <w:tc>
          <w:tcPr>
            <w:tcW w:type="dxa" w:w="2160"/>
          </w:tcPr>
          <w:p>
            <w:r>
              <w:t>60 days</w:t>
            </w:r>
          </w:p>
        </w:tc>
        <w:tc>
          <w:tcPr>
            <w:tcW w:type="dxa" w:w="2160"/>
          </w:tcPr>
          <w:p>
            <w:r>
              <w:t>120 days</w:t>
            </w:r>
          </w:p>
        </w:tc>
        <w:tc>
          <w:tcPr>
            <w:tcW w:type="dxa" w:w="2160"/>
          </w:tcPr>
          <w:p>
            <w:r>
              <w:t>Compromise: 90 days</w:t>
            </w:r>
          </w:p>
        </w:tc>
      </w:tr>
      <w:tr>
        <w:tc>
          <w:tcPr>
            <w:tcW w:type="dxa" w:w="2160"/>
          </w:tcPr>
          <w:p>
            <w:r>
              <w:t>Sub-contracting</w:t>
            </w:r>
          </w:p>
        </w:tc>
        <w:tc>
          <w:tcPr>
            <w:tcW w:type="dxa" w:w="2160"/>
          </w:tcPr>
          <w:p>
            <w:r>
              <w:t>Prior written consent</w:t>
            </w:r>
          </w:p>
        </w:tc>
        <w:tc>
          <w:tcPr>
            <w:tcW w:type="dxa" w:w="2160"/>
          </w:tcPr>
          <w:p>
            <w:r>
              <w:t>Notification only</w:t>
            </w:r>
          </w:p>
        </w:tc>
        <w:tc>
          <w:tcPr>
            <w:tcW w:type="dxa" w:w="2160"/>
          </w:tcPr>
          <w:p>
            <w:r>
              <w:t>Open — Procurement escalation</w:t>
            </w:r>
          </w:p>
        </w:tc>
      </w:tr>
      <w:tr>
        <w:tc>
          <w:tcPr>
            <w:tcW w:type="dxa" w:w="2160"/>
          </w:tcPr>
          <w:p>
            <w:r>
              <w:t>Data protection schedule</w:t>
            </w:r>
          </w:p>
        </w:tc>
        <w:tc>
          <w:tcPr>
            <w:tcW w:type="dxa" w:w="2160"/>
          </w:tcPr>
          <w:p>
            <w:r>
              <w:t>Annex A mandatory</w:t>
            </w:r>
          </w:p>
        </w:tc>
        <w:tc>
          <w:tcPr>
            <w:tcW w:type="dxa" w:w="2160"/>
          </w:tcPr>
          <w:p>
            <w:r>
              <w:t>Accepted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</w:tr>
      <w:tr>
        <w:tc>
          <w:tcPr>
            <w:tcW w:type="dxa" w:w="2160"/>
          </w:tcPr>
          <w:p>
            <w:r>
              <w:t>Anti-bribery warranty</w:t>
            </w:r>
          </w:p>
        </w:tc>
        <w:tc>
          <w:tcPr>
            <w:tcW w:type="dxa" w:w="2160"/>
          </w:tcPr>
          <w:p>
            <w:r>
              <w:t>Standard</w:t>
            </w:r>
          </w:p>
        </w:tc>
        <w:tc>
          <w:tcPr>
            <w:tcW w:type="dxa" w:w="2160"/>
          </w:tcPr>
          <w:p>
            <w:r>
              <w:t>Accepted</w:t>
            </w:r>
          </w:p>
        </w:tc>
        <w:tc>
          <w:tcPr>
            <w:tcW w:type="dxa" w:w="2160"/>
          </w:tcPr>
          <w:p>
            <w:r>
              <w:t>Closed</w:t>
            </w:r>
          </w:p>
        </w:tc>
      </w:tr>
    </w:tbl>
    <w:p>
      <w:pPr>
        <w:pStyle w:val="Heading2"/>
      </w:pPr>
      <w:r>
        <w:t>4. Open commercial items</w:t>
      </w:r>
    </w:p>
    <w:p>
      <w:pPr>
        <w:pStyle w:val="ListBullet"/>
      </w:pPr>
      <w:r>
        <w:t>Volume-rebate tiers above USD 1.8 million annual run-rate.</w:t>
      </w:r>
    </w:p>
    <w:p>
      <w:pPr>
        <w:pStyle w:val="ListBullet"/>
      </w:pPr>
      <w:r>
        <w:t>Indexation mechanism for fuel surcharge.</w:t>
      </w:r>
    </w:p>
    <w:p>
      <w:pPr>
        <w:pStyle w:val="ListBullet"/>
      </w:pPr>
      <w:r>
        <w:t>Service-credit regime for missed SLAs.</w:t>
      </w:r>
    </w:p>
    <w:p>
      <w:pPr>
        <w:pStyle w:val="Heading2"/>
      </w:pPr>
      <w:r>
        <w:t>5. Internal sign-off path</w:t>
      </w:r>
    </w:p>
    <w:p>
      <w:r>
        <w:t>Once open clauses are resolved, the draft requires sign-off from (a) Group Procurement (Hadar Caspit), (b) Group Legal (Mod Admin), (c) Site Operations (Daichi Maruyama), and (d) Group Finance for the payment-term variance.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