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RFP — Centralia Industrial Cleaning Services (Requirements Document)</w:t>
      </w:r>
    </w:p>
    <w:p>
      <w:pPr>
        <w:pStyle w:val="Heading1"/>
      </w:pPr>
      <w:r>
        <w:t>RFP — Centralia Industrial Cleaning Services (Requirements Document)</w:t>
      </w:r>
    </w:p>
    <w:p>
      <w:r>
        <w:t>Owner: Group Procurement (Hadar Caspit)  •  Lot: PRC-2026-LOT-14  •  Issue date: 2026-03-04  •  Submission deadline: 2026-04-15</w:t>
      </w:r>
    </w:p>
    <w:p>
      <w:pPr>
        <w:pStyle w:val="Heading2"/>
      </w:pPr>
      <w:r>
        <w:t>1. Background</w:t>
      </w:r>
    </w:p>
    <w:p>
      <w:r>
        <w:t>Zava Conglomerate is re-tendering its industrial-cleaning services contract for the Centralia downstream complex. The current contract expires 2026-09-30. This RFP seeks to award a 24-month contract to a single primary supplier with a backup-supplier panel.</w:t>
      </w:r>
    </w:p>
    <w:p>
      <w:pPr>
        <w:pStyle w:val="Heading2"/>
      </w:pPr>
      <w:r>
        <w:t>2. Scope of services required</w:t>
      </w:r>
    </w:p>
    <w:p>
      <w:pPr>
        <w:pStyle w:val="ListNumber"/>
      </w:pPr>
      <w:r>
        <w:t>Routine industrial cleaning across 14 process units and 3 utility blocks.</w:t>
      </w:r>
    </w:p>
    <w:p>
      <w:pPr>
        <w:pStyle w:val="ListNumber"/>
      </w:pPr>
      <w:r>
        <w:t>Preparation of hazardous waste for collection by the licensed waste contractor.</w:t>
      </w:r>
    </w:p>
    <w:p>
      <w:pPr>
        <w:pStyle w:val="ListNumber"/>
      </w:pPr>
      <w:r>
        <w:t>Confined-space cleaning under Zava's permit-to-work regime.</w:t>
      </w:r>
    </w:p>
    <w:p>
      <w:pPr>
        <w:pStyle w:val="ListNumber"/>
      </w:pPr>
      <w:r>
        <w:t>Emergency-response cleaning, 24/7 callout, with maximum response time of 90 minutes during operating hours.</w:t>
      </w:r>
    </w:p>
    <w:p>
      <w:pPr>
        <w:pStyle w:val="ListNumber"/>
      </w:pPr>
      <w:r>
        <w:t>Equipment and consumables provision.</w:t>
      </w:r>
    </w:p>
    <w:p>
      <w:pPr>
        <w:pStyle w:val="ListNumber"/>
      </w:pPr>
      <w:r>
        <w:t>Trained-and-certified personnel including confined-space and breathing-apparatus credentials.</w:t>
      </w:r>
    </w:p>
    <w:p>
      <w:pPr>
        <w:pStyle w:val="Heading2"/>
      </w:pPr>
      <w:r>
        <w:t>3. Mandatory requirements (pass/fail)</w:t>
      </w:r>
    </w:p>
    <w:p>
      <w:pPr>
        <w:pStyle w:val="ListBullet"/>
      </w:pPr>
      <w:r>
        <w:t>Three years of audited financial statements demonstrating financial stability.</w:t>
      </w:r>
    </w:p>
    <w:p>
      <w:pPr>
        <w:pStyle w:val="ListBullet"/>
      </w:pPr>
      <w:r>
        <w:t>Demonstrated industrial-cleaning experience at a comparable hazardous-process site.</w:t>
      </w:r>
    </w:p>
    <w:p>
      <w:pPr>
        <w:pStyle w:val="ListBullet"/>
      </w:pPr>
      <w:r>
        <w:t>ISO 9001, ISO 14001, and ISO 45001 certified management systems.</w:t>
      </w:r>
    </w:p>
    <w:p>
      <w:pPr>
        <w:pStyle w:val="ListBullet"/>
      </w:pPr>
      <w:r>
        <w:t>Zero fatalities in the past 36 months at any operated site.</w:t>
      </w:r>
    </w:p>
    <w:p>
      <w:pPr>
        <w:pStyle w:val="ListBullet"/>
      </w:pPr>
      <w:r>
        <w:t>Insurance certificates at the levels specified in Annex B.</w:t>
      </w:r>
    </w:p>
    <w:p>
      <w:pPr>
        <w:pStyle w:val="Heading2"/>
      </w:pPr>
      <w:r>
        <w:t>4. Evaluation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Evaluator</w:t>
            </w:r>
          </w:p>
        </w:tc>
      </w:tr>
      <w:tr>
        <w:tc>
          <w:tcPr>
            <w:tcW w:type="dxa" w:w="2880"/>
          </w:tcPr>
          <w:p>
            <w:r>
              <w:t>Commercial (total cost of ownership over 24 months)</w:t>
            </w:r>
          </w:p>
        </w:tc>
        <w:tc>
          <w:tcPr>
            <w:tcW w:type="dxa" w:w="2880"/>
          </w:tcPr>
          <w:p>
            <w:r>
              <w:t>40%</w:t>
            </w:r>
          </w:p>
        </w:tc>
        <w:tc>
          <w:tcPr>
            <w:tcW w:type="dxa" w:w="2880"/>
          </w:tcPr>
          <w:p>
            <w:r>
              <w:t>Procurement</w:t>
            </w:r>
          </w:p>
        </w:tc>
      </w:tr>
      <w:tr>
        <w:tc>
          <w:tcPr>
            <w:tcW w:type="dxa" w:w="2880"/>
          </w:tcPr>
          <w:p>
            <w:r>
              <w:t>Technical capability and methodology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>
              <w:t>Site Operations</w:t>
            </w:r>
          </w:p>
        </w:tc>
      </w:tr>
      <w:tr>
        <w:tc>
          <w:tcPr>
            <w:tcW w:type="dxa" w:w="2880"/>
          </w:tcPr>
          <w:p>
            <w:r>
              <w:t>HSE record and management system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Group HSE</w:t>
            </w:r>
          </w:p>
        </w:tc>
      </w:tr>
      <w:tr>
        <w:tc>
          <w:tcPr>
            <w:tcW w:type="dxa" w:w="2880"/>
          </w:tcPr>
          <w:p>
            <w:r>
              <w:t>Mobilisation plan and transition risk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Site Operations</w:t>
            </w:r>
          </w:p>
        </w:tc>
      </w:tr>
      <w:tr>
        <w:tc>
          <w:tcPr>
            <w:tcW w:type="dxa" w:w="2880"/>
          </w:tcPr>
          <w:p>
            <w:r>
              <w:t>ESG and local content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Sustainability</w:t>
            </w:r>
          </w:p>
        </w:tc>
      </w:tr>
    </w:tbl>
    <w:p>
      <w:pPr>
        <w:pStyle w:val="Heading2"/>
      </w:pPr>
      <w:r>
        <w:t>5. Required vendor submission format</w:t>
      </w:r>
    </w:p>
    <w:p>
      <w:pPr>
        <w:pStyle w:val="ListBullet"/>
      </w:pPr>
      <w:r>
        <w:t>Section A — Commercial proposal (Annex C template).</w:t>
      </w:r>
    </w:p>
    <w:p>
      <w:pPr>
        <w:pStyle w:val="ListBullet"/>
      </w:pPr>
      <w:r>
        <w:t>Section B — Technical proposal narrative (max 40 pages).</w:t>
      </w:r>
    </w:p>
    <w:p>
      <w:pPr>
        <w:pStyle w:val="ListBullet"/>
      </w:pPr>
      <w:r>
        <w:t>Section C — HSE pack (policies, statistics, certifications).</w:t>
      </w:r>
    </w:p>
    <w:p>
      <w:pPr>
        <w:pStyle w:val="ListBullet"/>
      </w:pPr>
      <w:r>
        <w:t>Section D — Mobilisation plan with Gantt chart.</w:t>
      </w:r>
    </w:p>
    <w:p>
      <w:pPr>
        <w:pStyle w:val="ListBullet"/>
      </w:pPr>
      <w:r>
        <w:t>Section E — Past contracts and references (minimum 3, last 36 months).</w:t>
      </w:r>
    </w:p>
    <w:p>
      <w:pPr>
        <w:pStyle w:val="ListBullet"/>
      </w:pPr>
      <w:r>
        <w:t>Section F — ESG declarations.</w:t>
      </w:r>
    </w:p>
    <w:p>
      <w:pPr>
        <w:pStyle w:val="Heading2"/>
      </w:pPr>
      <w:r>
        <w:t>6. Contact for clarifications</w:t>
      </w:r>
    </w:p>
    <w:p>
      <w:r>
        <w:t>All clarification questions must be submitted via the procurement portal by 2026-03-25. Responses will be shared with all bidders. Direct contact with site operations is prohibited during the bid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