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Anti-Scam Investor Complaints — Standard Reply Library</w:t>
      </w:r>
    </w:p>
    <w:p>
      <w:pPr>
        <w:pStyle w:val="Heading1"/>
      </w:pPr>
      <w:r>
        <w:t>Anti-Scam Investor Complaints — Standard Reply Library</w:t>
      </w:r>
    </w:p>
    <w:p>
      <w:r>
        <w:t>Owner: Investor Affairs Desk (Sasha Ouellet)  •  Last reviewed: 2026-04-02  •  Approved by: Group Compliance</w:t>
      </w:r>
    </w:p>
    <w:p>
      <w:pPr>
        <w:pStyle w:val="Heading2"/>
      </w:pPr>
      <w:r>
        <w:t>1. Purpose</w:t>
      </w:r>
    </w:p>
    <w:p>
      <w:r>
        <w:t>This document is the approved library of reply templates for investor complaint correspondence relating to suspected unlicensed investment activity. Each template is written for empathy and clarity, accurate on regulatory boundaries, and free of premature legal conclusions.</w:t>
      </w:r>
    </w:p>
    <w:p>
      <w:pPr>
        <w:pStyle w:val="Heading2"/>
      </w:pPr>
      <w:r>
        <w:t>2. Template A — Acknowledgement of receipt (within 24 hours)</w:t>
      </w:r>
    </w:p>
    <w:p>
      <w:r>
        <w:t>"Dear [Name], thank you for reaching out. We confirm receipt of your complaint reference [Ref]. We treat reports of suspected unlicensed activity with the highest priority. A case officer will be in touch within five business days to gather any additional details. In the meantime, please do not engage further with the party concerned or share any further funds or credentials. If you believe a crime is in progress, please contact your local police hotline."</w:t>
      </w:r>
    </w:p>
    <w:p>
      <w:pPr>
        <w:pStyle w:val="Heading2"/>
      </w:pPr>
      <w:r>
        <w:t>3. Template B — Request for additional evidence</w:t>
      </w:r>
    </w:p>
    <w:p>
      <w:r>
        <w:t>"Dear [Name], to allow us to act on your complaint we kindly request the following items: [list of items]. If you can provide these by [date], it would help us speed up the review. Please send them via [secure channel]. We will keep your information confidential to the maximum extent allowed by law."</w:t>
      </w:r>
    </w:p>
    <w:p>
      <w:pPr>
        <w:pStyle w:val="Heading2"/>
      </w:pPr>
      <w:r>
        <w:t>4. Template C — Confirmation of investigation in progress</w:t>
      </w:r>
    </w:p>
    <w:p>
      <w:r>
        <w:t>"Dear [Name], we are writing to confirm that the matter you reported is under investigation. We are not able to share investigative details, but we will update you when the case status changes. Please continue to preserve any evidence in your possession."</w:t>
      </w:r>
    </w:p>
    <w:p>
      <w:pPr>
        <w:pStyle w:val="Heading2"/>
      </w:pPr>
      <w:r>
        <w:t>5. Template D — Closure where action taken</w:t>
      </w:r>
    </w:p>
    <w:p>
      <w:r>
        <w:t>"Dear [Name], we are writing to inform you that the matter you reported has now been closed at our end. [Brief description of the regulatory action taken, where public.] We appreciate the public interest you served by bringing this to our attention."</w:t>
      </w:r>
    </w:p>
    <w:p>
      <w:pPr>
        <w:pStyle w:val="Heading2"/>
      </w:pPr>
      <w:r>
        <w:t>6. Template E — Closure where matter outside remit</w:t>
      </w:r>
    </w:p>
    <w:p>
      <w:r>
        <w:t>"Dear [Name], we have reviewed your report carefully. The matter falls outside our regulatory remit. We have, with your earlier permission, forwarded the report to [agency name], which is the appropriate authority. You may wish to follow up with them directly."</w:t>
      </w:r>
    </w:p>
    <w:p>
      <w:pPr>
        <w:pStyle w:val="Heading2"/>
      </w:pPr>
      <w:r>
        <w:t>7. Drafting guardrails</w:t>
      </w:r>
    </w:p>
    <w:p>
      <w:pPr>
        <w:pStyle w:val="ListBullet"/>
      </w:pPr>
      <w:r>
        <w:t>Do not name suspected parties until enforcement action is public.</w:t>
      </w:r>
    </w:p>
    <w:p>
      <w:pPr>
        <w:pStyle w:val="ListBullet"/>
      </w:pPr>
      <w:r>
        <w:t>Do not promise refunds or specific outcomes.</w:t>
      </w:r>
    </w:p>
    <w:p>
      <w:pPr>
        <w:pStyle w:val="ListBullet"/>
      </w:pPr>
      <w:r>
        <w:t>Do not characterise the operator's conduct as illegal until adjudicated.</w:t>
      </w:r>
    </w:p>
    <w:p>
      <w:pPr>
        <w:pStyle w:val="ListBullet"/>
      </w:pPr>
      <w:r>
        <w:t>Always include the complaint reference and the case-officer point of contact.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