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Equities Issuer Submission Guidelines (Zava Internal Companion)</w:t>
      </w:r>
    </w:p>
    <w:p>
      <w:pPr>
        <w:pStyle w:val="Heading1"/>
      </w:pPr>
      <w:r>
        <w:t>Equities Issuer Submission Guidelines (Zava Internal Companion)</w:t>
      </w:r>
    </w:p>
    <w:p>
      <w:r>
        <w:t>Owner: Group Corporate Secretarial &amp; Investor Relations (Daichi Maruyama)  •  Status: Internal companion to the listing-venue rules — does not override them</w:t>
      </w:r>
    </w:p>
    <w:p>
      <w:pPr>
        <w:pStyle w:val="Heading2"/>
      </w:pPr>
      <w:r>
        <w:t>1. Purpose</w:t>
      </w:r>
    </w:p>
    <w:p>
      <w:r>
        <w:t>Zava Conglomerate and its listed subsidiaries make frequent equity-related submissions to the listing venue. This companion document standardises Zava's internal preparation steps. It is not a substitute for the official listing-venue rules.</w:t>
      </w:r>
    </w:p>
    <w:p>
      <w:pPr>
        <w:pStyle w:val="Heading2"/>
      </w:pPr>
      <w:r>
        <w:t>2. Common submission types</w:t>
      </w:r>
    </w:p>
    <w:p>
      <w:pPr>
        <w:pStyle w:val="ListBullet"/>
      </w:pPr>
      <w:r>
        <w:t>Quarterly financial results.</w:t>
      </w:r>
    </w:p>
    <w:p>
      <w:pPr>
        <w:pStyle w:val="ListBullet"/>
      </w:pPr>
      <w:r>
        <w:t>Material announcements (M&amp;A, asset disposals, major contracts, regulatory action).</w:t>
      </w:r>
    </w:p>
    <w:p>
      <w:pPr>
        <w:pStyle w:val="ListBullet"/>
      </w:pPr>
      <w:r>
        <w:t>Annual report and annual general meeting documentation.</w:t>
      </w:r>
    </w:p>
    <w:p>
      <w:pPr>
        <w:pStyle w:val="ListBullet"/>
      </w:pPr>
      <w:r>
        <w:t>Rights issue, private placement, and bond issuance documents.</w:t>
      </w:r>
    </w:p>
    <w:p>
      <w:pPr>
        <w:pStyle w:val="ListBullet"/>
      </w:pPr>
      <w:r>
        <w:t>Director and substantial-shareholder changes.</w:t>
      </w:r>
    </w:p>
    <w:p>
      <w:pPr>
        <w:pStyle w:val="ListBullet"/>
      </w:pPr>
      <w:r>
        <w:t>Related-party transaction disclosures.</w:t>
      </w:r>
    </w:p>
    <w:p>
      <w:pPr>
        <w:pStyle w:val="Heading2"/>
      </w:pPr>
      <w:r>
        <w:t>3. Internal preparation checklist (every submission)</w:t>
      </w:r>
    </w:p>
    <w:p>
      <w:pPr>
        <w:pStyle w:val="ListNumber"/>
      </w:pPr>
      <w:r>
        <w:t>Confirm materiality with Group Legal.</w:t>
      </w:r>
    </w:p>
    <w:p>
      <w:pPr>
        <w:pStyle w:val="ListNumber"/>
      </w:pPr>
      <w:r>
        <w:t>Cross-check numbers against Group Finance's locked figures.</w:t>
      </w:r>
    </w:p>
    <w:p>
      <w:pPr>
        <w:pStyle w:val="ListNumber"/>
      </w:pPr>
      <w:r>
        <w:t>Apply the standard disclosure template.</w:t>
      </w:r>
    </w:p>
    <w:p>
      <w:pPr>
        <w:pStyle w:val="ListNumber"/>
      </w:pPr>
      <w:r>
        <w:t>Run the language consistency check (EN + BM + ID).</w:t>
      </w:r>
    </w:p>
    <w:p>
      <w:pPr>
        <w:pStyle w:val="ListNumber"/>
      </w:pPr>
      <w:r>
        <w:t>Obtain sign-off from the Disclosure Committee (Chair + 2 members minimum).</w:t>
      </w:r>
    </w:p>
    <w:p>
      <w:pPr>
        <w:pStyle w:val="ListNumber"/>
      </w:pPr>
      <w:r>
        <w:t>Submit through the official portal; archive in the submissions log.</w:t>
      </w:r>
    </w:p>
    <w:p>
      <w:pPr>
        <w:pStyle w:val="Heading2"/>
      </w:pPr>
      <w:r>
        <w:t>4. Timing rules of thumb</w:t>
      </w:r>
    </w:p>
    <w:p>
      <w:pPr>
        <w:pStyle w:val="ListBullet"/>
      </w:pPr>
      <w:r>
        <w:t>Material announcements: as soon as practicable; never delayed for non-trading-day reasons alone.</w:t>
      </w:r>
    </w:p>
    <w:p>
      <w:pPr>
        <w:pStyle w:val="ListBullet"/>
      </w:pPr>
      <w:r>
        <w:t>Quarterly results: target submission within 35 calendar days of period end (regulator deadline is 60 days for many venues).</w:t>
      </w:r>
    </w:p>
    <w:p>
      <w:pPr>
        <w:pStyle w:val="ListBullet"/>
      </w:pPr>
      <w:r>
        <w:t>Annual report: target 90 calendar days from year-end.</w:t>
      </w:r>
    </w:p>
    <w:p>
      <w:pPr>
        <w:pStyle w:val="ListBullet"/>
      </w:pPr>
      <w:r>
        <w:t>AGM circular: minimum 21 clear days before the meeting (verify venue-specific rule).</w:t>
      </w:r>
    </w:p>
    <w:p>
      <w:pPr>
        <w:pStyle w:val="Heading2"/>
      </w:pPr>
      <w:r>
        <w:t>5. Common Pitfalls</w:t>
      </w:r>
    </w:p>
    <w:p>
      <w:r>
        <w:t>Numbers reissued after submission — re-submission required and prior version withdrawn explicitly. Material announcements drafted in the active voice but ambiguous on financial impact. Forward-looking statements lacking the standard cautionary language. Trading windows breached because the announcement timing pulled a director into a blackout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