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Industry Consultation Notes — FY2026 Policy Refresh</w:t>
      </w:r>
    </w:p>
    <w:p>
      <w:pPr>
        <w:pStyle w:val="Heading1"/>
      </w:pPr>
      <w:r>
        <w:t>Industry Consultation Notes — FY2026 Policy Refresh</w:t>
      </w:r>
    </w:p>
    <w:p>
      <w:r>
        <w:t>Owner: Group Public Affairs (Mod Admin)  •  Scope: Stakeholder feedback collected for the FY2026 policy refresh on private-credit licensing and crypto-adjacent activity</w:t>
      </w:r>
    </w:p>
    <w:p>
      <w:pPr>
        <w:pStyle w:val="Heading2"/>
      </w:pPr>
      <w:r>
        <w:t>1. Engagement programme</w:t>
      </w:r>
    </w:p>
    <w:p>
      <w:r>
        <w:t>Between 2026-01-15 and 2026-03-20, the team held 14 round-tables and 11 bilateral consultations with industry stakeholders. Participants included asset managers, banks, custodians, law firms, professional bodies, and consumer-advocacy groups.</w:t>
      </w:r>
    </w:p>
    <w:p>
      <w:pPr>
        <w:pStyle w:val="Heading2"/>
      </w:pPr>
      <w:r>
        <w:t>2. Themes raised by industry</w:t>
      </w:r>
    </w:p>
    <w:p>
      <w:pPr>
        <w:pStyle w:val="ListNumber"/>
      </w:pPr>
      <w:r>
        <w:t>Definitional clarity on what constitutes 'institutional' versus 'retail' private credit.</w:t>
      </w:r>
    </w:p>
    <w:p>
      <w:pPr>
        <w:pStyle w:val="ListNumber"/>
      </w:pPr>
      <w:r>
        <w:t>Cost of compliance for sub-USD 100 million fund managers.</w:t>
      </w:r>
    </w:p>
    <w:p>
      <w:pPr>
        <w:pStyle w:val="ListNumber"/>
      </w:pPr>
      <w:r>
        <w:t>Operational treatment of stablecoin and tokenised debt instruments.</w:t>
      </w:r>
    </w:p>
    <w:p>
      <w:pPr>
        <w:pStyle w:val="ListNumber"/>
      </w:pPr>
      <w:r>
        <w:t>Cross-jurisdictional recognition of fit-and-proper assessments.</w:t>
      </w:r>
    </w:p>
    <w:p>
      <w:pPr>
        <w:pStyle w:val="ListNumber"/>
      </w:pPr>
      <w:r>
        <w:t>Transition arrangements for already-licensed firms with grandfathered terms.</w:t>
      </w:r>
    </w:p>
    <w:p>
      <w:pPr>
        <w:pStyle w:val="Heading2"/>
      </w:pPr>
      <w:r>
        <w:t>3. Themes raised by consumer-advocacy groups</w:t>
      </w:r>
    </w:p>
    <w:p>
      <w:pPr>
        <w:pStyle w:val="ListBullet"/>
      </w:pPr>
      <w:r>
        <w:t>Stronger disclosures on illiquidity and lock-up periods.</w:t>
      </w:r>
    </w:p>
    <w:p>
      <w:pPr>
        <w:pStyle w:val="ListBullet"/>
      </w:pPr>
      <w:r>
        <w:t>Cooling-off windows for retail-feeder structures.</w:t>
      </w:r>
    </w:p>
    <w:p>
      <w:pPr>
        <w:pStyle w:val="ListBullet"/>
      </w:pPr>
      <w:r>
        <w:t>Faster enforcement on unlicensed solicitation, particularly on social media.</w:t>
      </w:r>
    </w:p>
    <w:p>
      <w:pPr>
        <w:pStyle w:val="ListBullet"/>
      </w:pPr>
      <w:r>
        <w:t>Plain-language explanations of net-return calculations.</w:t>
      </w:r>
    </w:p>
    <w:p>
      <w:pPr>
        <w:pStyle w:val="Heading2"/>
      </w:pPr>
      <w:r>
        <w:t>4. Areas of consensus</w:t>
      </w:r>
    </w:p>
    <w:p>
      <w:r>
        <w:t>Stakeholders broadly agreed on (a) the need for clearer eligibility rules, (b) a tiered licensing regime that reflects manager size and complexity, (c) the importance of harmonising fit-and-proper recognition with peer regulators, and (d) stronger enforcement on unlicensed soliciting via social platforms.</w:t>
      </w:r>
    </w:p>
    <w:p>
      <w:pPr>
        <w:pStyle w:val="Heading2"/>
      </w:pPr>
      <w:r>
        <w:t>5. Areas of disagreement</w:t>
      </w:r>
    </w:p>
    <w:p>
      <w:r>
        <w:t>Stakeholders disagreed on (a) whether stablecoin custody should be brought under the same regime as fund custody, (b) the calibration of the AUM threshold for the lighter-touch tier, and (c) the extent to which retail feeder structures should be permitted at all.</w:t>
      </w:r>
    </w:p>
    <w:p>
      <w:pPr>
        <w:pStyle w:val="Heading2"/>
      </w:pPr>
      <w:r>
        <w:t>6. Indicative drafting positions to be tested</w:t>
      </w:r>
    </w:p>
    <w:p>
      <w:pPr>
        <w:pStyle w:val="ListBullet"/>
      </w:pPr>
      <w:r>
        <w:t>Three-tier licensing: SFO, sub-USD 250m manager, institutional manager.</w:t>
      </w:r>
    </w:p>
    <w:p>
      <w:pPr>
        <w:pStyle w:val="ListBullet"/>
      </w:pPr>
      <w:r>
        <w:t>Cross-recognition memorandum with two peer regulators for fit-and-proper.</w:t>
      </w:r>
    </w:p>
    <w:p>
      <w:pPr>
        <w:pStyle w:val="ListBullet"/>
      </w:pPr>
      <w:r>
        <w:t>Mandatory cooling-off of 5 business days for retail feeders above USD 50,000 ticket.</w:t>
      </w:r>
    </w:p>
    <w:p>
      <w:pPr>
        <w:pStyle w:val="ListBullet"/>
      </w:pPr>
      <w:r>
        <w:t>Public register of authorised entities with API access for downstream verification.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