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F4C81"/>
        </w:rPr>
        <w:t>Account Plan — Apex Industries</w:t>
      </w:r>
    </w:p>
    <w:p>
      <w:r>
        <w:rPr>
          <w:i/>
          <w:color w:val="6B7280"/>
        </w:rPr>
        <w:t>Zava Conglomerate · Renewal cycle FY2026 · Customer Success · CONFIDENTIAL</w:t>
      </w:r>
    </w:p>
    <w:p>
      <w:pPr>
        <w:pStyle w:val="Heading2"/>
      </w:pPr>
      <w:r>
        <w:rPr>
          <w:color w:val="1F2937"/>
        </w:rPr>
        <w:t>1. Account Profile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Customer</w:t>
            </w:r>
          </w:p>
        </w:tc>
        <w:tc>
          <w:tcPr>
            <w:tcW w:type="dxa" w:w="4320"/>
          </w:tcPr>
          <w:p>
            <w:r>
              <w:t>Apex Industries Sdn Bhd</w:t>
            </w:r>
          </w:p>
        </w:tc>
      </w:tr>
      <w:tr>
        <w:tc>
          <w:tcPr>
            <w:tcW w:type="dxa" w:w="4320"/>
          </w:tcPr>
          <w:p>
            <w:r>
              <w:t>Industry</w:t>
            </w:r>
          </w:p>
        </w:tc>
        <w:tc>
          <w:tcPr>
            <w:tcW w:type="dxa" w:w="4320"/>
          </w:tcPr>
          <w:p>
            <w:r>
              <w:t>Industrial manufacturing</w:t>
            </w:r>
          </w:p>
        </w:tc>
      </w:tr>
      <w:tr>
        <w:tc>
          <w:tcPr>
            <w:tcW w:type="dxa" w:w="4320"/>
          </w:tcPr>
          <w:p>
            <w:r>
              <w:t>HQ</w:t>
            </w:r>
          </w:p>
        </w:tc>
        <w:tc>
          <w:tcPr>
            <w:tcW w:type="dxa" w:w="4320"/>
          </w:tcPr>
          <w:p>
            <w:r>
              <w:t>Selangor, Malaysia</w:t>
            </w:r>
          </w:p>
        </w:tc>
      </w:tr>
      <w:tr>
        <w:tc>
          <w:tcPr>
            <w:tcW w:type="dxa" w:w="4320"/>
          </w:tcPr>
          <w:p>
            <w:r>
              <w:t>Annual revenue (customer)</w:t>
            </w:r>
          </w:p>
        </w:tc>
        <w:tc>
          <w:tcPr>
            <w:tcW w:type="dxa" w:w="4320"/>
          </w:tcPr>
          <w:p>
            <w:r>
              <w:t>~MYR 1.2bn</w:t>
            </w:r>
          </w:p>
        </w:tc>
      </w:tr>
      <w:tr>
        <w:tc>
          <w:tcPr>
            <w:tcW w:type="dxa" w:w="4320"/>
          </w:tcPr>
          <w:p>
            <w:r>
              <w:t>Employees</w:t>
            </w:r>
          </w:p>
        </w:tc>
        <w:tc>
          <w:tcPr>
            <w:tcW w:type="dxa" w:w="4320"/>
          </w:tcPr>
          <w:p>
            <w:r>
              <w:t>3,400</w:t>
            </w:r>
          </w:p>
        </w:tc>
      </w:tr>
      <w:tr>
        <w:tc>
          <w:tcPr>
            <w:tcW w:type="dxa" w:w="4320"/>
          </w:tcPr>
          <w:p>
            <w:r>
              <w:t>Contract value (ours, FY25)</w:t>
            </w:r>
          </w:p>
        </w:tc>
        <w:tc>
          <w:tcPr>
            <w:tcW w:type="dxa" w:w="4320"/>
          </w:tcPr>
          <w:p>
            <w:r>
              <w:t>MYR 4.6M</w:t>
            </w:r>
          </w:p>
        </w:tc>
      </w:tr>
      <w:tr>
        <w:tc>
          <w:tcPr>
            <w:tcW w:type="dxa" w:w="4320"/>
          </w:tcPr>
          <w:p>
            <w:r>
              <w:t>Renewal date</w:t>
            </w:r>
          </w:p>
        </w:tc>
        <w:tc>
          <w:tcPr>
            <w:tcW w:type="dxa" w:w="4320"/>
          </w:tcPr>
          <w:p>
            <w:r>
              <w:t>2026-09-30</w:t>
            </w:r>
          </w:p>
        </w:tc>
      </w:tr>
      <w:tr>
        <w:tc>
          <w:tcPr>
            <w:tcW w:type="dxa" w:w="4320"/>
          </w:tcPr>
          <w:p>
            <w:r>
              <w:t>Account tenure</w:t>
            </w:r>
          </w:p>
        </w:tc>
        <w:tc>
          <w:tcPr>
            <w:tcW w:type="dxa" w:w="4320"/>
          </w:tcPr>
          <w:p>
            <w:r>
              <w:t>4 years (since 2022)</w:t>
            </w:r>
          </w:p>
        </w:tc>
      </w:tr>
      <w:tr>
        <w:tc>
          <w:tcPr>
            <w:tcW w:type="dxa" w:w="4320"/>
          </w:tcPr>
          <w:p>
            <w:r>
              <w:t>Sponsor</w:t>
            </w:r>
          </w:p>
        </w:tc>
        <w:tc>
          <w:tcPr>
            <w:tcW w:type="dxa" w:w="4320"/>
          </w:tcPr>
          <w:p>
            <w:r>
              <w:t>VP Operations</w:t>
            </w:r>
          </w:p>
        </w:tc>
      </w:tr>
      <w:tr>
        <w:tc>
          <w:tcPr>
            <w:tcW w:type="dxa" w:w="4320"/>
          </w:tcPr>
          <w:p>
            <w:r>
              <w:t>Day-to-day owner</w:t>
            </w:r>
          </w:p>
        </w:tc>
        <w:tc>
          <w:tcPr>
            <w:tcW w:type="dxa" w:w="4320"/>
          </w:tcPr>
          <w:p>
            <w:r>
              <w:t>IT Director</w:t>
            </w:r>
          </w:p>
        </w:tc>
      </w:tr>
      <w:tr>
        <w:tc>
          <w:tcPr>
            <w:tcW w:type="dxa" w:w="4320"/>
          </w:tcPr>
          <w:p>
            <w:r>
              <w:t>Champion</w:t>
            </w:r>
          </w:p>
        </w:tc>
        <w:tc>
          <w:tcPr>
            <w:tcW w:type="dxa" w:w="4320"/>
          </w:tcPr>
          <w:p>
            <w:r>
              <w:t>Head of Plant Engineering</w:t>
            </w:r>
          </w:p>
        </w:tc>
      </w:tr>
    </w:tbl>
    <w:p>
      <w:pPr>
        <w:pStyle w:val="Heading2"/>
      </w:pPr>
      <w:r>
        <w:rPr>
          <w:color w:val="1F2937"/>
        </w:rPr>
        <w:t>2. Subscription &amp; Services</w:t>
      </w:r>
    </w:p>
    <w:p>
      <w:pPr>
        <w:pStyle w:val="ListBullet"/>
      </w:pPr>
      <w:r>
        <w:t>Core Platform — 1,200 seats (currently using 1,054)</w:t>
      </w:r>
    </w:p>
    <w:p>
      <w:pPr>
        <w:pStyle w:val="ListBullet"/>
      </w:pPr>
      <w:r>
        <w:t>Analytics Add-on — 1,200 seats (currently using 642)</w:t>
      </w:r>
    </w:p>
    <w:p>
      <w:pPr>
        <w:pStyle w:val="ListBullet"/>
      </w:pPr>
      <w:r>
        <w:t>Premium Support — 24x7</w:t>
      </w:r>
    </w:p>
    <w:p>
      <w:pPr>
        <w:pStyle w:val="ListBullet"/>
      </w:pPr>
      <w:r>
        <w:t>Professional Services — 240 hours / year retainer</w:t>
      </w:r>
    </w:p>
    <w:p>
      <w:pPr>
        <w:pStyle w:val="ListBullet"/>
      </w:pPr>
      <w:r>
        <w:t>Implementation services completed 2022</w:t>
      </w:r>
    </w:p>
    <w:p>
      <w:pPr>
        <w:pStyle w:val="Heading2"/>
      </w:pPr>
      <w:r>
        <w:rPr>
          <w:color w:val="1F2937"/>
        </w:rPr>
        <w:t>3. Health Signals</w:t>
      </w:r>
    </w:p>
    <w:p>
      <w:pPr>
        <w:pStyle w:val="ListBullet"/>
      </w:pPr>
      <w:r>
        <w:t>Adoption — core platform usage healthy (88%); analytics add-on low (54%)</w:t>
      </w:r>
    </w:p>
    <w:p>
      <w:pPr>
        <w:pStyle w:val="ListBullet"/>
      </w:pPr>
      <w:r>
        <w:t>Stickiness — 3 of 7 key workflows automated end-to-end</w:t>
      </w:r>
    </w:p>
    <w:p>
      <w:pPr>
        <w:pStyle w:val="ListBullet"/>
      </w:pPr>
      <w:r>
        <w:t>Support — 14 tickets last 12m; 1 P1 (resolved within SLA)</w:t>
      </w:r>
    </w:p>
    <w:p>
      <w:pPr>
        <w:pStyle w:val="ListBullet"/>
      </w:pPr>
      <w:r>
        <w:t>Champion — Head of Plant Engineering is renewing internal advocacy</w:t>
      </w:r>
    </w:p>
    <w:p>
      <w:pPr>
        <w:pStyle w:val="ListBullet"/>
      </w:pPr>
      <w:r>
        <w:t>Sponsor risk — VP Operations role under change; new VP joining 2026-06</w:t>
      </w:r>
    </w:p>
    <w:p>
      <w:pPr>
        <w:pStyle w:val="Heading2"/>
      </w:pPr>
      <w:r>
        <w:rPr>
          <w:color w:val="1F2937"/>
        </w:rPr>
        <w:t>4. Renewal Strategy</w:t>
      </w:r>
    </w:p>
    <w:p>
      <w:r>
        <w:rPr>
          <w:b w:val="0"/>
          <w:i w:val="0"/>
        </w:rPr>
        <w:t>4.1 Target — 3-year renewal, 8% net price increase, expand analytics add-on to 800 active users (currently 642).</w:t>
      </w:r>
    </w:p>
    <w:p>
      <w:r>
        <w:rPr>
          <w:b w:val="0"/>
          <w:i w:val="0"/>
        </w:rPr>
        <w:t>4.2 Sales motion — VP-to-VP sponsor reset with new VP Operations in July; champion-led usage review; ROI memo from analytics rollout.</w:t>
      </w:r>
    </w:p>
    <w:p>
      <w:r>
        <w:rPr>
          <w:b w:val="0"/>
          <w:i w:val="0"/>
        </w:rPr>
        <w:t>4.3 Concessions framework — accept 2-year renewal if customer pushes back on 3-year; accept 4% net increase if multi-year secured; accept seat true-up at renewal not at signing.</w:t>
      </w:r>
    </w:p>
    <w:p>
      <w:r>
        <w:rPr>
          <w:b w:val="0"/>
          <w:i w:val="0"/>
        </w:rPr>
        <w:t>4.4 Walk-away — annual roll-over at 4% net increase; refuse below 0% net increase regardless of term.</w:t>
      </w:r>
    </w:p>
    <w:p>
      <w:pPr>
        <w:pStyle w:val="Heading2"/>
      </w:pPr>
      <w:r>
        <w:rPr>
          <w:color w:val="1F2937"/>
        </w:rPr>
        <w:t>5. Risks</w:t>
      </w:r>
    </w:p>
    <w:p>
      <w:pPr>
        <w:pStyle w:val="ListBullet"/>
      </w:pPr>
      <w:r>
        <w:t>New VP unknown — may want to evaluate alternatives</w:t>
      </w:r>
    </w:p>
    <w:p>
      <w:pPr>
        <w:pStyle w:val="ListBullet"/>
      </w:pPr>
      <w:r>
        <w:t>Competitor X is actively targeting; placed pitch June 2025 (we won then)</w:t>
      </w:r>
    </w:p>
    <w:p>
      <w:pPr>
        <w:pStyle w:val="ListBullet"/>
      </w:pPr>
      <w:r>
        <w:t>Analytics add-on underutilised — value justification harder</w:t>
      </w:r>
    </w:p>
    <w:p>
      <w:pPr>
        <w:pStyle w:val="ListBullet"/>
      </w:pPr>
      <w:r>
        <w:t>Industry capex cycle softening — customer may push for price cut</w:t>
      </w:r>
    </w:p>
    <w:p>
      <w:pPr>
        <w:pStyle w:val="Heading2"/>
      </w:pPr>
      <w:r>
        <w:rPr>
          <w:color w:val="1F2937"/>
        </w:rPr>
        <w:t>6. Action Plan (next 90 days)</w:t>
      </w:r>
    </w:p>
    <w:p>
      <w:pPr>
        <w:pStyle w:val="ListBullet"/>
      </w:pPr>
      <w:r>
        <w:t>Week 1-2: champion alignment meeting; usage review prepared</w:t>
      </w:r>
    </w:p>
    <w:p>
      <w:pPr>
        <w:pStyle w:val="ListBullet"/>
      </w:pPr>
      <w:r>
        <w:t>Week 3-4: ROI memo drafted with quantified business outcomes</w:t>
      </w:r>
    </w:p>
    <w:p>
      <w:pPr>
        <w:pStyle w:val="ListBullet"/>
      </w:pPr>
      <w:r>
        <w:t>Week 5-6: sponsor reset meeting with new VP (target before 2026-07-15)</w:t>
      </w:r>
    </w:p>
    <w:p>
      <w:pPr>
        <w:pStyle w:val="ListBullet"/>
      </w:pPr>
      <w:r>
        <w:t>Week 7-8: term-sheet exchange</w:t>
      </w:r>
    </w:p>
    <w:p>
      <w:pPr>
        <w:pStyle w:val="ListBullet"/>
      </w:pPr>
      <w:r>
        <w:t>Week 9-12: legal + commercial negotiation, signed by 2026-09-15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