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Internal Audit &amp; Assurance — Findings Report (FY2025 cycle)</w:t>
      </w:r>
    </w:p>
    <w:p>
      <w:r>
        <w:t>Issued by: Group Internal Audit | Approver: Hadar Caspit (Group CFO, Risk Committee Chair) | Date: 15 May 2026 | Distribution: Audit Committee, Group ExCo, BNM auditor liaison.</w:t>
      </w:r>
    </w:p>
    <w:p>
      <w:pPr>
        <w:pStyle w:val="Heading1"/>
      </w:pPr>
      <w:r>
        <w:t>1. Executive summary</w:t>
      </w:r>
    </w:p>
    <w:p>
      <w:r>
        <w:t>Of the 36 audit engagements completed in the FY2025 cycle, 4 produced High-severity findings, 9 Medium, 18 Low, and 5 closed with no finding. The cumulative risk-weighted exposure for the 13 open High+Medium issues is estimated at MYR 28.4M revenue-at-risk plus MYR 9.6M one-off remediation cost. 22 of 31 findings from prior cycles have been verified closed; 9 remain past target close date and have been escalated to ExCo.</w:t>
      </w:r>
    </w:p>
    <w:p>
      <w:pPr>
        <w:pStyle w:val="Heading1"/>
      </w:pPr>
      <w:r>
        <w:t>2. High-severity findings (4 open)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 close</w:t>
            </w:r>
          </w:p>
        </w:tc>
      </w:tr>
      <w:tr>
        <w:tc>
          <w:tcPr>
            <w:tcW w:type="dxa" w:w="1728"/>
          </w:tcPr>
          <w:p>
            <w:r>
              <w:t>HF-01</w:t>
            </w:r>
          </w:p>
        </w:tc>
        <w:tc>
          <w:tcPr>
            <w:tcW w:type="dxa" w:w="1728"/>
          </w:tcPr>
          <w:p>
            <w:r>
              <w:t>Banking — Credit risk</w:t>
            </w:r>
          </w:p>
        </w:tc>
        <w:tc>
          <w:tcPr>
            <w:tcW w:type="dxa" w:w="1728"/>
          </w:tcPr>
          <w:p>
            <w:r>
              <w:t>BNM PD/LGD model recalibration overdue 9 months; FY2024 backtest deviation &gt; 3 stdev on 4 sub-portfolios.</w:t>
            </w:r>
          </w:p>
        </w:tc>
        <w:tc>
          <w:tcPr>
            <w:tcW w:type="dxa" w:w="1728"/>
          </w:tcPr>
          <w:p>
            <w:r>
              <w:t>Head of Risk</w:t>
            </w:r>
          </w:p>
        </w:tc>
        <w:tc>
          <w:tcPr>
            <w:tcW w:type="dxa" w:w="1728"/>
          </w:tcPr>
          <w:p>
            <w:r>
              <w:t>2026-08-31</w:t>
            </w:r>
          </w:p>
        </w:tc>
      </w:tr>
      <w:tr>
        <w:tc>
          <w:tcPr>
            <w:tcW w:type="dxa" w:w="1728"/>
          </w:tcPr>
          <w:p>
            <w:r>
              <w:t>HF-02</w:t>
            </w:r>
          </w:p>
        </w:tc>
        <w:tc>
          <w:tcPr>
            <w:tcW w:type="dxa" w:w="1728"/>
          </w:tcPr>
          <w:p>
            <w:r>
              <w:t>Treasury</w:t>
            </w:r>
          </w:p>
        </w:tc>
        <w:tc>
          <w:tcPr>
            <w:tcW w:type="dxa" w:w="1728"/>
          </w:tcPr>
          <w:p>
            <w:r>
              <w:t>Bank account reconciliation backlog at 38 of 142 accounts &gt; 30 days. Suspected duplicate FX swap entries (MYR 14.2M nominal) unresolved.</w:t>
            </w:r>
          </w:p>
        </w:tc>
        <w:tc>
          <w:tcPr>
            <w:tcW w:type="dxa" w:w="1728"/>
          </w:tcPr>
          <w:p>
            <w:r>
              <w:t>Group Treasurer</w:t>
            </w:r>
          </w:p>
        </w:tc>
        <w:tc>
          <w:tcPr>
            <w:tcW w:type="dxa" w:w="1728"/>
          </w:tcPr>
          <w:p>
            <w:r>
              <w:t>2026-06-30</w:t>
            </w:r>
          </w:p>
        </w:tc>
      </w:tr>
      <w:tr>
        <w:tc>
          <w:tcPr>
            <w:tcW w:type="dxa" w:w="1728"/>
          </w:tcPr>
          <w:p>
            <w:r>
              <w:t>HF-03</w:t>
            </w:r>
          </w:p>
        </w:tc>
        <w:tc>
          <w:tcPr>
            <w:tcW w:type="dxa" w:w="1728"/>
          </w:tcPr>
          <w:p>
            <w:r>
              <w:t>IT — Access</w:t>
            </w:r>
          </w:p>
        </w:tc>
        <w:tc>
          <w:tcPr>
            <w:tcW w:type="dxa" w:w="1728"/>
          </w:tcPr>
          <w:p>
            <w:r>
              <w:t>Privileged account review not completed for 11 of 28 production systems in 6 months. SOX 404 evidence gap.</w:t>
            </w:r>
          </w:p>
        </w:tc>
        <w:tc>
          <w:tcPr>
            <w:tcW w:type="dxa" w:w="1728"/>
          </w:tcPr>
          <w:p>
            <w:r>
              <w:t>CIO</w:t>
            </w:r>
          </w:p>
        </w:tc>
        <w:tc>
          <w:tcPr>
            <w:tcW w:type="dxa" w:w="1728"/>
          </w:tcPr>
          <w:p>
            <w:r>
              <w:t>2026-07-15</w:t>
            </w:r>
          </w:p>
        </w:tc>
      </w:tr>
      <w:tr>
        <w:tc>
          <w:tcPr>
            <w:tcW w:type="dxa" w:w="1728"/>
          </w:tcPr>
          <w:p>
            <w:r>
              <w:t>HF-04</w:t>
            </w:r>
          </w:p>
        </w:tc>
        <w:tc>
          <w:tcPr>
            <w:tcW w:type="dxa" w:w="1728"/>
          </w:tcPr>
          <w:p>
            <w:r>
              <w:t>Plantation — HSE</w:t>
            </w:r>
          </w:p>
        </w:tc>
        <w:tc>
          <w:tcPr>
            <w:tcW w:type="dxa" w:w="1728"/>
          </w:tcPr>
          <w:p>
            <w:r>
              <w:t>Lost-time injury under-reporting suspected at 2 mills based on independent re-count of incident log.</w:t>
            </w:r>
          </w:p>
        </w:tc>
        <w:tc>
          <w:tcPr>
            <w:tcW w:type="dxa" w:w="1728"/>
          </w:tcPr>
          <w:p>
            <w:r>
              <w:t>Head of HSE</w:t>
            </w:r>
          </w:p>
        </w:tc>
        <w:tc>
          <w:tcPr>
            <w:tcW w:type="dxa" w:w="1728"/>
          </w:tcPr>
          <w:p>
            <w:r>
              <w:t>2026-09-30</w:t>
            </w:r>
          </w:p>
        </w:tc>
      </w:tr>
    </w:tbl>
    <w:p>
      <w:pPr>
        <w:pStyle w:val="Heading1"/>
      </w:pPr>
      <w:r>
        <w:t>3. Medium-severity findings (9 open)</w:t>
      </w:r>
    </w:p>
    <w:p>
      <w:pPr>
        <w:pStyle w:val="ListBullet"/>
      </w:pPr>
      <w:r>
        <w:t>MF-01 Procurement — 14 contracts &gt; MYR 5M renewed without DOA approval (CFO discretionary band breached).</w:t>
      </w:r>
    </w:p>
    <w:p>
      <w:pPr>
        <w:pStyle w:val="ListBullet"/>
      </w:pPr>
      <w:r>
        <w:t>MF-02 Payroll — manual journal lines &gt; MYR 50k posted by single preparer at month-end (segregation of duties).</w:t>
      </w:r>
    </w:p>
    <w:p>
      <w:pPr>
        <w:pStyle w:val="ListBullet"/>
      </w:pPr>
      <w:r>
        <w:t>MF-03 Property — REIT valuer rotation not enforced; same firm 6 consecutive years on 4 assets.</w:t>
      </w:r>
    </w:p>
    <w:p>
      <w:pPr>
        <w:pStyle w:val="ListBullet"/>
      </w:pPr>
      <w:r>
        <w:t>MF-04 Insurance — outstanding claim provisioning Bornhuetter-Ferguson model not validated independently in 18 months.</w:t>
      </w:r>
    </w:p>
    <w:p>
      <w:pPr>
        <w:pStyle w:val="ListBullet"/>
      </w:pPr>
      <w:r>
        <w:t>MF-05 Healthcare — narcotics stock-take variance &gt; 0.5% across 3 hospitals; controlled-drug register not signed off daily.</w:t>
      </w:r>
    </w:p>
    <w:p>
      <w:pPr>
        <w:pStyle w:val="ListBullet"/>
      </w:pPr>
      <w:r>
        <w:t>MF-06 Telco — vendor SLA credits not reconciled to GL; estimated MYR 3.4M under-recovered.</w:t>
      </w:r>
    </w:p>
    <w:p>
      <w:pPr>
        <w:pStyle w:val="ListBullet"/>
      </w:pPr>
      <w:r>
        <w:t>MF-07 ESG — Scope 3 data quality marked High variance in 8 of 14 categories.</w:t>
      </w:r>
    </w:p>
    <w:p>
      <w:pPr>
        <w:pStyle w:val="ListBullet"/>
      </w:pPr>
      <w:r>
        <w:t>MF-08 Corporate secretarial — board pack distribution &gt; 7 days late on 3 of 12 meetings (MMLR breach).</w:t>
      </w:r>
    </w:p>
    <w:p>
      <w:pPr>
        <w:pStyle w:val="ListBullet"/>
      </w:pPr>
      <w:r>
        <w:t>MF-09 Tax — withholding tax positions on 5 cross-border related-party flows not re-evaluated under new ASEAN BEPS guidance.</w:t>
      </w:r>
    </w:p>
    <w:p>
      <w:pPr>
        <w:pStyle w:val="Heading1"/>
      </w:pPr>
      <w:r>
        <w:t>4. Closure tracking (prior cycles)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Risk-weighted exposure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t>Verified closed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MYR 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On track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MYR 8.4M</w:t>
            </w:r>
          </w:p>
        </w:tc>
        <w:tc>
          <w:tcPr>
            <w:tcW w:type="dxa" w:w="2160"/>
          </w:tcPr>
          <w:p>
            <w:r>
              <w:t>Quarterly progress to AC</w:t>
            </w:r>
          </w:p>
        </w:tc>
      </w:tr>
      <w:tr>
        <w:tc>
          <w:tcPr>
            <w:tcW w:type="dxa" w:w="2160"/>
          </w:tcPr>
          <w:p>
            <w:r>
              <w:t>Past target close — &lt; 60 days overdue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MYR 4.2M</w:t>
            </w:r>
          </w:p>
        </w:tc>
        <w:tc>
          <w:tcPr>
            <w:tcW w:type="dxa" w:w="2160"/>
          </w:tcPr>
          <w:p>
            <w:r>
              <w:t>ExCo escalation issued</w:t>
            </w:r>
          </w:p>
        </w:tc>
      </w:tr>
      <w:tr>
        <w:tc>
          <w:tcPr>
            <w:tcW w:type="dxa" w:w="2160"/>
          </w:tcPr>
          <w:p>
            <w:r>
              <w:t>Past target close — &gt; 60 days overdue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MYR 11.8M</w:t>
            </w:r>
          </w:p>
        </w:tc>
        <w:tc>
          <w:tcPr>
            <w:tcW w:type="dxa" w:w="2160"/>
          </w:tcPr>
          <w:p>
            <w:r>
              <w:t>Risk-accept paper to AC for 2 items</w:t>
            </w:r>
          </w:p>
        </w:tc>
      </w:tr>
    </w:tbl>
    <w:p>
      <w:pPr>
        <w:pStyle w:val="Heading1"/>
      </w:pPr>
      <w:r>
        <w:t>5. Audit Committee resolutions requested</w:t>
      </w:r>
    </w:p>
    <w:p>
      <w:pPr>
        <w:pStyle w:val="ListNumber"/>
      </w:pPr>
      <w:r>
        <w:t>Approve MYR 6.4M one-off remediation budget for HF-01 (model recalibration + independent validation).</w:t>
      </w:r>
    </w:p>
    <w:p>
      <w:pPr>
        <w:pStyle w:val="ListNumber"/>
      </w:pPr>
      <w:r>
        <w:t>Note 9 medium findings; escalate any not closed by FY2026 Q2 to High severity automatically.</w:t>
      </w:r>
    </w:p>
    <w:p>
      <w:pPr>
        <w:pStyle w:val="ListNumber"/>
      </w:pPr>
      <w:r>
        <w:t>Endorse risk-accept paper for 2 plantation HSE legacy items (residual MYR 2.8M).</w:t>
      </w:r>
    </w:p>
    <w:p>
      <w:pPr>
        <w:pStyle w:val="ListNumber"/>
      </w:pPr>
      <w:r>
        <w:t>Approve refreshed audit universe and FY2026 audit plan (separate paper).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