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External Auditor — Open Queries (FY2025 audit)</w:t>
      </w:r>
    </w:p>
    <w:p>
      <w:r>
        <w:t>External auditor: Tier-1 firm | Partner: D. Tan | Manager: F. Lim | Open as of: 15 May 2026 | Group lead: Hadar Caspit (Group CFO).</w:t>
      </w:r>
    </w:p>
    <w:p>
      <w:r>
        <w:t>The auditor has 28 open queries outstanding for FY2025 sign-off (target: 15 Jun). Group Finance is requested to triage and respond within 5 working days unless flagged below.</w:t>
      </w:r>
    </w:p>
    <w:p>
      <w:pPr>
        <w:pStyle w:val="Heading1"/>
      </w:pPr>
      <w:r>
        <w:t>1. Revenue recognition (6 queries)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Auditor 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Group response status</w:t>
            </w:r>
          </w:p>
        </w:tc>
      </w:tr>
      <w:tr>
        <w:tc>
          <w:tcPr>
            <w:tcW w:type="dxa" w:w="2160"/>
          </w:tcPr>
          <w:p>
            <w:r>
              <w:t>Q-REV-01</w:t>
            </w:r>
          </w:p>
        </w:tc>
        <w:tc>
          <w:tcPr>
            <w:tcW w:type="dxa" w:w="2160"/>
          </w:tcPr>
          <w:p>
            <w:r>
              <w:t>Property — bundled handover</w:t>
            </w:r>
          </w:p>
        </w:tc>
        <w:tc>
          <w:tcPr>
            <w:tcW w:type="dxa" w:w="2160"/>
          </w:tcPr>
          <w:p>
            <w:r>
              <w:t>Provide POC schedule + variation order log for Bandar Zava Phase 2 to evidence 5-step model.</w:t>
            </w:r>
          </w:p>
        </w:tc>
        <w:tc>
          <w:tcPr>
            <w:tcW w:type="dxa" w:w="2160"/>
          </w:tcPr>
          <w:p>
            <w:r>
              <w:t>Drafting; due 18 May</w:t>
            </w:r>
          </w:p>
        </w:tc>
      </w:tr>
      <w:tr>
        <w:tc>
          <w:tcPr>
            <w:tcW w:type="dxa" w:w="2160"/>
          </w:tcPr>
          <w:p>
            <w:r>
              <w:t>Q-REV-02</w:t>
            </w:r>
          </w:p>
        </w:tc>
        <w:tc>
          <w:tcPr>
            <w:tcW w:type="dxa" w:w="2160"/>
          </w:tcPr>
          <w:p>
            <w:r>
              <w:t>Construction</w:t>
            </w:r>
          </w:p>
        </w:tc>
        <w:tc>
          <w:tcPr>
            <w:tcW w:type="dxa" w:w="2160"/>
          </w:tcPr>
          <w:p>
            <w:r>
              <w:t>Substantiate the MYR 84.2M variation order claim included in revenue.</w:t>
            </w:r>
          </w:p>
        </w:tc>
        <w:tc>
          <w:tcPr>
            <w:tcW w:type="dxa" w:w="2160"/>
          </w:tcPr>
          <w:p>
            <w:r>
              <w:t>Pending — depends on counterparty position paper</w:t>
            </w:r>
          </w:p>
        </w:tc>
      </w:tr>
      <w:tr>
        <w:tc>
          <w:tcPr>
            <w:tcW w:type="dxa" w:w="2160"/>
          </w:tcPr>
          <w:p>
            <w:r>
              <w:t>Q-REV-03</w:t>
            </w:r>
          </w:p>
        </w:tc>
        <w:tc>
          <w:tcPr>
            <w:tcW w:type="dxa" w:w="2160"/>
          </w:tcPr>
          <w:p>
            <w:r>
              <w:t>Telco — bundled handsets</w:t>
            </w:r>
          </w:p>
        </w:tc>
        <w:tc>
          <w:tcPr>
            <w:tcW w:type="dxa" w:w="2160"/>
          </w:tcPr>
          <w:p>
            <w:r>
              <w:t>Allocation of TCV to handset vs service obligation; provide SSP study.</w:t>
            </w:r>
          </w:p>
        </w:tc>
        <w:tc>
          <w:tcPr>
            <w:tcW w:type="dxa" w:w="2160"/>
          </w:tcPr>
          <w:p>
            <w:r>
              <w:t>Drafting</w:t>
            </w:r>
          </w:p>
        </w:tc>
      </w:tr>
      <w:tr>
        <w:tc>
          <w:tcPr>
            <w:tcW w:type="dxa" w:w="2160"/>
          </w:tcPr>
          <w:p>
            <w:r>
              <w:t>Q-REV-04</w:t>
            </w:r>
          </w:p>
        </w:tc>
        <w:tc>
          <w:tcPr>
            <w:tcW w:type="dxa" w:w="2160"/>
          </w:tcPr>
          <w:p>
            <w:r>
              <w:t>Insurance — IFRS 17 CSM</w:t>
            </w:r>
          </w:p>
        </w:tc>
        <w:tc>
          <w:tcPr>
            <w:tcW w:type="dxa" w:w="2160"/>
          </w:tcPr>
          <w:p>
            <w:r>
              <w:t>Walk-through of CSM release for 3 cohorts; explain confidence-level methodology change.</w:t>
            </w:r>
          </w:p>
        </w:tc>
        <w:tc>
          <w:tcPr>
            <w:tcW w:type="dxa" w:w="2160"/>
          </w:tcPr>
          <w:p>
            <w:r>
              <w:t>Awaiting CRO sign-off</w:t>
            </w:r>
          </w:p>
        </w:tc>
      </w:tr>
      <w:tr>
        <w:tc>
          <w:tcPr>
            <w:tcW w:type="dxa" w:w="2160"/>
          </w:tcPr>
          <w:p>
            <w:r>
              <w:t>Q-REV-05</w:t>
            </w:r>
          </w:p>
        </w:tc>
        <w:tc>
          <w:tcPr>
            <w:tcW w:type="dxa" w:w="2160"/>
          </w:tcPr>
          <w:p>
            <w:r>
              <w:t>Hospitality</w:t>
            </w:r>
          </w:p>
        </w:tc>
        <w:tc>
          <w:tcPr>
            <w:tcW w:type="dxa" w:w="2160"/>
          </w:tcPr>
          <w:p>
            <w:r>
              <w:t>Loyalty programme breakage rate change rationale (from 28% to 21%).</w:t>
            </w:r>
          </w:p>
        </w:tc>
        <w:tc>
          <w:tcPr>
            <w:tcW w:type="dxa" w:w="2160"/>
          </w:tcPr>
          <w:p>
            <w:r>
              <w:t>Drafting</w:t>
            </w:r>
          </w:p>
        </w:tc>
      </w:tr>
      <w:tr>
        <w:tc>
          <w:tcPr>
            <w:tcW w:type="dxa" w:w="2160"/>
          </w:tcPr>
          <w:p>
            <w:r>
              <w:t>Q-REV-06</w:t>
            </w:r>
          </w:p>
        </w:tc>
        <w:tc>
          <w:tcPr>
            <w:tcW w:type="dxa" w:w="2160"/>
          </w:tcPr>
          <w:p>
            <w:r>
              <w:t>Logistics</w:t>
            </w:r>
          </w:p>
        </w:tc>
        <w:tc>
          <w:tcPr>
            <w:tcW w:type="dxa" w:w="2160"/>
          </w:tcPr>
          <w:p>
            <w:r>
              <w:t>Cut-off testing: 14 shipments at year-end straddle period.</w:t>
            </w:r>
          </w:p>
        </w:tc>
        <w:tc>
          <w:tcPr>
            <w:tcW w:type="dxa" w:w="2160"/>
          </w:tcPr>
          <w:p>
            <w:r>
              <w:t>Closed pending evidence pack</w:t>
            </w:r>
          </w:p>
        </w:tc>
      </w:tr>
    </w:tbl>
    <w:p>
      <w:pPr>
        <w:pStyle w:val="Heading1"/>
      </w:pPr>
      <w:r>
        <w:t>2. Impairment (5 queries)</w:t>
      </w:r>
    </w:p>
    <w:p>
      <w:pPr>
        <w:pStyle w:val="ListBullet"/>
      </w:pPr>
      <w:r>
        <w:t>Q-IMP-01 — Plantation: WACC inputs for FFB price scenario; sensitivity ± 50 MYR/MT.</w:t>
      </w:r>
    </w:p>
    <w:p>
      <w:pPr>
        <w:pStyle w:val="ListBullet"/>
      </w:pPr>
      <w:r>
        <w:t>Q-IMP-02 — Telco towers CGU: long-term growth rate justification (current 2.0% vs prior 2.5%).</w:t>
      </w:r>
    </w:p>
    <w:p>
      <w:pPr>
        <w:pStyle w:val="ListBullet"/>
      </w:pPr>
      <w:r>
        <w:t>Q-IMP-03 — Goodwill on Apex Banking acquisition: refresh impairment test post-MFRS 9 cycle.</w:t>
      </w:r>
    </w:p>
    <w:p>
      <w:pPr>
        <w:pStyle w:val="ListBullet"/>
      </w:pPr>
      <w:r>
        <w:t>Q-IMP-04 — Healthcare brand: indefinite-life intangible re-test with 3 new competitor entrants.</w:t>
      </w:r>
    </w:p>
    <w:p>
      <w:pPr>
        <w:pStyle w:val="ListBullet"/>
      </w:pPr>
      <w:r>
        <w:t>Q-IMP-05 — Renewable energy: PPA-based DCF; provide hedged vs spot scenario split.</w:t>
      </w:r>
    </w:p>
    <w:p>
      <w:pPr>
        <w:pStyle w:val="Heading1"/>
      </w:pPr>
      <w:r>
        <w:t>3. Tax + transfer pricing (4 queries)</w:t>
      </w:r>
    </w:p>
    <w:p>
      <w:pPr>
        <w:pStyle w:val="ListBullet"/>
      </w:pPr>
      <w:r>
        <w:t>Q-TAX-01 — TP master file: provide updated FAR analysis for 3 related-party flows.</w:t>
      </w:r>
    </w:p>
    <w:p>
      <w:pPr>
        <w:pStyle w:val="ListBullet"/>
      </w:pPr>
      <w:r>
        <w:t>Q-TAX-02 — Indonesia branch: provide P3B treaty positions for 2 royalty flows (PT Zava Niaga).</w:t>
      </w:r>
    </w:p>
    <w:p>
      <w:pPr>
        <w:pStyle w:val="ListBullet"/>
      </w:pPr>
      <w:r>
        <w:t>Q-TAX-03 — Deferred tax: walk MYR 412M opening to MYR 478M closing balance by component.</w:t>
      </w:r>
    </w:p>
    <w:p>
      <w:pPr>
        <w:pStyle w:val="ListBullet"/>
      </w:pPr>
      <w:r>
        <w:t>Q-TAX-04 — Uncertain tax positions: FY2024 IRB query (MYR 38M) — provide latest correspondence and provisioning rationale.</w:t>
      </w:r>
    </w:p>
    <w:p>
      <w:pPr>
        <w:pStyle w:val="Heading1"/>
      </w:pPr>
      <w:r>
        <w:t>4. Going concern + liquidity (3 queries)</w:t>
      </w:r>
    </w:p>
    <w:p>
      <w:pPr>
        <w:pStyle w:val="ListBullet"/>
      </w:pPr>
      <w:r>
        <w:t>Q-GC-01 — Provide 12-month rolling cash forecast (base + downside).</w:t>
      </w:r>
    </w:p>
    <w:p>
      <w:pPr>
        <w:pStyle w:val="ListBullet"/>
      </w:pPr>
      <w:r>
        <w:t>Q-GC-02 — Covenant headroom analysis at 31 Mar; provide forward 4Q ratios with sensitivities.</w:t>
      </w:r>
    </w:p>
    <w:p>
      <w:pPr>
        <w:pStyle w:val="ListBullet"/>
      </w:pPr>
      <w:r>
        <w:t>Q-GC-03 — Refinancing of USD 280M sukuk due Sep 2026 — provide signed MOU or term sheets.</w:t>
      </w:r>
    </w:p>
    <w:p>
      <w:pPr>
        <w:pStyle w:val="Heading1"/>
      </w:pPr>
      <w:r>
        <w:t>5. Other (10 queries)</w:t>
      </w:r>
    </w:p>
    <w:p>
      <w:r>
        <w:t>Includes: 2 related-party transactions (BoD member director-related), 2 share-based payment fair value re-measurements, 2 climate-related disclosure (TCFD), 1 contingent liability (LIT-2024-001), 2 going-concern non-financial events post balance sheet, 1 first-time IFRS S2 adoption.</w:t>
      </w:r>
    </w:p>
    <w:p>
      <w:pPr>
        <w:pStyle w:val="Heading1"/>
      </w:pPr>
      <w:r>
        <w:t>6. Triage plan</w:t>
      </w:r>
    </w:p>
    <w:p>
      <w:r>
        <w:t>Hadar Caspit, Group CFO, owns the response register. Daily 8:30am stand-up with audit team. Items not closed by 1 June will be escalated to the Audit Committee Chair and may delay sign-off.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