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Zava Group Audit Committee — Minutes of the Meeting</w:t>
      </w:r>
    </w:p>
    <w:p>
      <w:r>
        <w:t>Date: 28 April 2026 | Venue: Board Room, Level 38, Zava Tower KL + Teams hybrid | Quorum: 5 of 5 (4 INED + 1 NED) | Chair: Y.M. Tunku Adel (INED) | In attendance: Hadar Caspit (Group CFO), Vijay Subramaniam (Head of Internal Audit), Catherine Wong (External Auditor partner), Mod Admin (Group Strategy).</w:t>
      </w:r>
    </w:p>
    <w:p>
      <w:pPr>
        <w:pStyle w:val="Heading1"/>
      </w:pPr>
      <w:r>
        <w:t>1. Apologies + declaration of interest</w:t>
      </w:r>
    </w:p>
    <w:p>
      <w:r>
        <w:t>No apologies received. No new conflicts declared. Existing standing declarations remain on file.</w:t>
      </w:r>
    </w:p>
    <w:p>
      <w:pPr>
        <w:pStyle w:val="Heading1"/>
      </w:pPr>
      <w:r>
        <w:t>2. Confirmation of prior minutes</w:t>
      </w:r>
    </w:p>
    <w:p>
      <w:r>
        <w:t>Minutes of the 24 January 2026 meeting were tabled and confirmed without amendment. Matters arising are tracked in the Action Log (Appendix A).</w:t>
      </w:r>
    </w:p>
    <w:p>
      <w:pPr>
        <w:pStyle w:val="Heading1"/>
      </w:pPr>
      <w:r>
        <w:t>3. FY2025 Internal Audit cycle — closure report</w:t>
      </w:r>
    </w:p>
    <w:p>
      <w:r>
        <w:t>The Head of Internal Audit presented the FY2025 cycle closure: 36 engagements completed, 4 High-severity findings, 9 Medium, 18 Low, 5 closed with no finding. Cumulative risk-weighted exposure of open High+Medium issues estimated at MYR 28.4M revenue-at-risk plus MYR 9.6M remediation cost.</w:t>
      </w:r>
    </w:p>
    <w:p>
      <w:r>
        <w:t>The Committee noted concerns on the timeliness of closure of HF-01 (BNM model recalibration). The Committee resolved to require Group CFO to provide a remediation plan with monthly milestones by 31 May 2026.</w:t>
      </w:r>
    </w:p>
    <w:p>
      <w:pPr>
        <w:pStyle w:val="Heading1"/>
      </w:pPr>
      <w:r>
        <w:t>4. External audit — open queries</w:t>
      </w:r>
    </w:p>
    <w:p>
      <w:r>
        <w:t>The External Auditor partner reported 28 open queries outstanding for FY2025 sign-off (target: 15 June 2026). Top areas of concern: revenue recognition (6), impairment (5), tax/TP (4), going concern/liquidity (3). The auditor confirmed no fundamental issues identified to date.</w:t>
      </w:r>
    </w:p>
    <w:p>
      <w:r>
        <w:t>The Committee noted the volume of late queries and requested Group Finance to triage and respond within 5 working days, with daily stand-ups commencing immediately.</w:t>
      </w:r>
    </w:p>
    <w:p>
      <w:pPr>
        <w:pStyle w:val="Heading1"/>
      </w:pPr>
      <w:r>
        <w:t>5. Risk + compliance update</w:t>
      </w:r>
    </w:p>
    <w:p>
      <w:pPr>
        <w:pStyle w:val="ListBullet"/>
      </w:pPr>
      <w:r>
        <w:t>Compliance register: 30 active items, no Red status. Two Amber items relate to PDPA breach assessment outcomes — both have remediation plans in flight.</w:t>
      </w:r>
    </w:p>
    <w:p>
      <w:pPr>
        <w:pStyle w:val="ListBullet"/>
      </w:pPr>
      <w:r>
        <w:t>Litigation register: 24 cases, 1 High-severity (LIT-2024-001, MYR 8.4M quantum, trial Q4 2026).</w:t>
      </w:r>
    </w:p>
    <w:p>
      <w:pPr>
        <w:pStyle w:val="ListBullet"/>
      </w:pPr>
      <w:r>
        <w:t>BNM AMLA review: scheduled June 2026; Group Compliance preparation on track.</w:t>
      </w:r>
    </w:p>
    <w:p>
      <w:pPr>
        <w:pStyle w:val="ListBullet"/>
      </w:pPr>
      <w:r>
        <w:t>Whistleblowing: 8 cases received Q1, 6 closed (no findings), 2 in investigation.</w:t>
      </w:r>
    </w:p>
    <w:p>
      <w:pPr>
        <w:pStyle w:val="Heading1"/>
      </w:pPr>
      <w:r>
        <w:t>6. FY2026 Audit Plan + budget</w:t>
      </w:r>
    </w:p>
    <w:p>
      <w:r>
        <w:t>The Committee approved the FY2026 Internal Audit plan covering 38 engagements, MYR 4.8M budget (flat vs FY2025), and headcount of 24 (vs 22 in FY2025 — 2 additional positions in data analytics).</w:t>
      </w:r>
    </w:p>
    <w:p>
      <w:r>
        <w:t>The Committee requested specific FY2026 focus on: (a) climate disclosure controls (IFRS S2), (b) Pillar 2 minimum tax data readiness, (c) operational resilience under BNM RMiT framework.</w:t>
      </w:r>
    </w:p>
    <w:p>
      <w:pPr>
        <w:pStyle w:val="Heading1"/>
      </w:pPr>
      <w:r>
        <w:t>7. Resolutions</w:t>
      </w:r>
    </w:p>
    <w:p>
      <w:pPr>
        <w:pStyle w:val="ListNumber"/>
      </w:pPr>
      <w:r>
        <w:t>Approved: closure report for FY2025 IA cycle with remediation plan requirement for HF-01.</w:t>
      </w:r>
    </w:p>
    <w:p>
      <w:pPr>
        <w:pStyle w:val="ListNumber"/>
      </w:pPr>
      <w:r>
        <w:t>Approved: FY2026 Internal Audit plan + budget + headcount.</w:t>
      </w:r>
    </w:p>
    <w:p>
      <w:pPr>
        <w:pStyle w:val="ListNumber"/>
      </w:pPr>
      <w:r>
        <w:t>Approved: refreshed AC terms of reference (separately tabled).</w:t>
      </w:r>
    </w:p>
    <w:p>
      <w:pPr>
        <w:pStyle w:val="ListNumber"/>
      </w:pPr>
      <w:r>
        <w:t>Noted: external audit progress + open query position.</w:t>
      </w:r>
    </w:p>
    <w:p>
      <w:pPr>
        <w:pStyle w:val="ListNumber"/>
      </w:pPr>
      <w:r>
        <w:t>Noted: risk + compliance + litigation registers.</w:t>
      </w:r>
    </w:p>
    <w:p>
      <w:pPr>
        <w:pStyle w:val="Heading1"/>
      </w:pPr>
      <w:r>
        <w:t>8. Next meeting</w:t>
      </w:r>
    </w:p>
    <w:p>
      <w:r>
        <w:t>Next meeting: 25 July 2026, Board Room. Standing agenda + interim AGM-prep deep-dive on going concern and FY2026 H1 closing position.</w:t>
      </w:r>
    </w:p>
    <w:p>
      <w:r>
        <w:t>Meeting closed at 11:42am.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